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42536">
      <w:pPr>
        <w:pStyle w:val="2"/>
        <w:spacing w:before="0" w:line="360" w:lineRule="auto"/>
        <w:jc w:val="center"/>
        <w:rPr>
          <w:lang w:eastAsia="zh-CN"/>
        </w:rPr>
      </w:pPr>
      <w:bookmarkStart w:id="0" w:name="_Hlk182498536"/>
      <w:bookmarkStart w:id="1" w:name="自主可控网络安全技术---机密计算安全服务接口规范征求意见稿编制说明"/>
      <w:r>
        <w:rPr>
          <w:rFonts w:hint="eastAsia" w:ascii="黑体" w:hAnsi="黑体" w:eastAsia="黑体" w:cs="黑体"/>
          <w:lang w:eastAsia="zh-CN"/>
        </w:rPr>
        <w:t>团体标准</w:t>
      </w:r>
      <w:r>
        <w:rPr>
          <w:rFonts w:hint="eastAsia" w:ascii="黑体" w:hAnsi="黑体" w:eastAsia="黑体" w:cs="黑体"/>
          <w:b w:val="0"/>
          <w:bCs w:val="0"/>
          <w:lang w:eastAsia="zh-CN"/>
        </w:rPr>
        <w:t>《泛在操作系统</w:t>
      </w:r>
      <w:r>
        <w:rPr>
          <w:rFonts w:ascii="黑体" w:hAnsi="黑体" w:eastAsia="黑体" w:cs="黑体"/>
          <w:b w:val="0"/>
          <w:bCs w:val="0"/>
          <w:lang w:eastAsia="zh-CN"/>
        </w:rPr>
        <w:t xml:space="preserve">  </w:t>
      </w:r>
      <w:bookmarkStart w:id="2" w:name="OLE_LINK4"/>
      <w:r>
        <w:rPr>
          <w:rFonts w:hint="eastAsia" w:ascii="黑体" w:hAnsi="黑体" w:eastAsia="黑体" w:cs="黑体"/>
          <w:b w:val="0"/>
          <w:bCs w:val="0"/>
          <w:lang w:eastAsia="zh-CN"/>
        </w:rPr>
        <w:t>第</w:t>
      </w:r>
      <w:r>
        <w:rPr>
          <w:rFonts w:ascii="黑体" w:hAnsi="黑体" w:eastAsia="黑体" w:cs="黑体"/>
          <w:b w:val="0"/>
          <w:bCs w:val="0"/>
          <w:lang w:eastAsia="zh-CN"/>
        </w:rPr>
        <w:t>2</w:t>
      </w:r>
      <w:r>
        <w:rPr>
          <w:rFonts w:hint="eastAsia" w:ascii="黑体" w:hAnsi="黑体" w:eastAsia="黑体" w:cs="黑体"/>
          <w:b w:val="0"/>
          <w:bCs w:val="0"/>
          <w:lang w:eastAsia="zh-CN"/>
        </w:rPr>
        <w:t>部分：</w:t>
      </w:r>
      <w:bookmarkEnd w:id="2"/>
      <w:r>
        <w:rPr>
          <w:rFonts w:hint="eastAsia" w:ascii="黑体" w:hAnsi="黑体" w:eastAsia="黑体" w:cs="黑体"/>
          <w:b w:val="0"/>
          <w:bCs w:val="0"/>
          <w:lang w:eastAsia="zh-CN"/>
        </w:rPr>
        <w:t>工业物联应用框架定义》（征求意见稿）</w:t>
      </w:r>
      <w:r>
        <w:rPr>
          <w:rFonts w:hint="eastAsia" w:ascii="黑体" w:hAnsi="黑体" w:eastAsia="黑体" w:cs="黑体"/>
          <w:lang w:eastAsia="zh-CN"/>
        </w:rPr>
        <w:t>编制说明</w:t>
      </w:r>
    </w:p>
    <w:p w14:paraId="5880A8BA">
      <w:pPr>
        <w:pStyle w:val="3"/>
        <w:rPr>
          <w:lang w:eastAsia="zh-CN"/>
        </w:rPr>
      </w:pPr>
    </w:p>
    <w:bookmarkEnd w:id="0"/>
    <w:p w14:paraId="30245F3C">
      <w:pPr>
        <w:pStyle w:val="4"/>
        <w:rPr>
          <w:lang w:eastAsia="zh-CN"/>
        </w:rPr>
      </w:pPr>
      <w:bookmarkStart w:id="3" w:name="一工作简况"/>
      <w:r>
        <w:rPr>
          <w:lang w:eastAsia="zh-CN"/>
        </w:rPr>
        <w:t>一、工作简况</w:t>
      </w:r>
    </w:p>
    <w:p w14:paraId="7E6659BC">
      <w:pPr>
        <w:pStyle w:val="5"/>
        <w:spacing w:line="360" w:lineRule="auto"/>
        <w:rPr>
          <w:lang w:eastAsia="zh-CN"/>
        </w:rPr>
      </w:pPr>
      <w:bookmarkStart w:id="4" w:name="一任务来源"/>
      <w:r>
        <w:rPr>
          <w:lang w:eastAsia="zh-CN"/>
        </w:rPr>
        <w:t>（一）任务来源</w:t>
      </w:r>
    </w:p>
    <w:p w14:paraId="5141ADC1">
      <w:pPr>
        <w:spacing w:line="360" w:lineRule="auto"/>
        <w:ind w:firstLine="480" w:firstLineChars="200"/>
        <w:rPr>
          <w:rFonts w:ascii="宋体" w:hAnsi="宋体" w:eastAsia="宋体" w:cs="宋体"/>
          <w:lang w:eastAsia="zh-CN"/>
        </w:rPr>
      </w:pPr>
      <w:r>
        <w:rPr>
          <w:rFonts w:hint="eastAsia" w:ascii="宋体" w:hAnsi="宋体" w:eastAsia="宋体" w:cs="宋体"/>
          <w:lang w:eastAsia="zh-CN"/>
        </w:rPr>
        <w:t>本课题属于国家重点研发计划</w:t>
      </w:r>
      <w:bookmarkStart w:id="5" w:name="OLE_LINK1"/>
      <w:r>
        <w:rPr>
          <w:rFonts w:hint="eastAsia" w:ascii="宋体" w:hAnsi="宋体" w:eastAsia="宋体" w:cs="宋体"/>
          <w:lang w:eastAsia="zh-CN"/>
        </w:rPr>
        <w:t>“先进计算与新兴软件”</w:t>
      </w:r>
      <w:bookmarkEnd w:id="5"/>
      <w:r>
        <w:rPr>
          <w:rFonts w:hint="eastAsia" w:ascii="宋体" w:hAnsi="宋体" w:eastAsia="宋体" w:cs="宋体"/>
          <w:lang w:eastAsia="zh-CN"/>
        </w:rPr>
        <w:t>专项</w:t>
      </w:r>
      <w:bookmarkStart w:id="6" w:name="OLE_LINK2"/>
      <w:r>
        <w:rPr>
          <w:rFonts w:hint="eastAsia" w:ascii="宋体" w:hAnsi="宋体" w:eastAsia="宋体" w:cs="宋体"/>
          <w:lang w:eastAsia="zh-CN"/>
        </w:rPr>
        <w:t>。</w:t>
      </w:r>
      <w:r>
        <w:rPr>
          <w:rFonts w:hint="eastAsia"/>
          <w:lang w:eastAsia="zh-CN"/>
        </w:rPr>
        <w:t>中国电子商会</w:t>
      </w:r>
      <w:r>
        <w:rPr>
          <w:rFonts w:hint="eastAsia" w:ascii="宋体" w:hAnsi="宋体" w:eastAsia="宋体" w:cs="宋体"/>
          <w:lang w:eastAsia="zh-CN"/>
        </w:rPr>
        <w:t>于2024年11月18日发布关于《泛在操作系统》系列标准立项的公告，《泛在操作系统  第2部分：工业物联应用框架定义》团体标准正式立项，项目编号为CECC 2024-4-067。</w:t>
      </w:r>
      <w:bookmarkEnd w:id="6"/>
    </w:p>
    <w:p w14:paraId="378D7270">
      <w:pPr>
        <w:spacing w:line="360" w:lineRule="auto"/>
        <w:ind w:firstLine="480" w:firstLineChars="200"/>
        <w:rPr>
          <w:rFonts w:ascii="宋体" w:hAnsi="宋体" w:eastAsia="宋体" w:cs="宋体"/>
          <w:lang w:eastAsia="zh-CN"/>
        </w:rPr>
      </w:pPr>
      <w:r>
        <w:rPr>
          <w:rFonts w:hint="eastAsia" w:ascii="宋体" w:hAnsi="宋体" w:eastAsia="宋体" w:cs="宋体"/>
          <w:lang w:eastAsia="zh-CN"/>
        </w:rPr>
        <w:t>针对工业物联网场景中的多节点设备管理、实时数据处理、智能控制与自适应调度等关键问题，目前尚缺乏统一、明确的应用框架定义。本标准致力于通过对工业物联场景下感、联、知、控框架结构体和接口的定义，指导工业现场设备、边缘计算单元及云端管理平台的统一应用开发。</w:t>
      </w:r>
    </w:p>
    <w:bookmarkEnd w:id="4"/>
    <w:p w14:paraId="486C1751">
      <w:pPr>
        <w:pStyle w:val="5"/>
        <w:spacing w:line="360" w:lineRule="auto"/>
        <w:rPr>
          <w:lang w:eastAsia="zh-CN"/>
        </w:rPr>
      </w:pPr>
      <w:bookmarkStart w:id="7" w:name="二协作单位"/>
      <w:r>
        <w:rPr>
          <w:lang w:eastAsia="zh-CN"/>
        </w:rPr>
        <w:t>（二）协作单位</w:t>
      </w:r>
    </w:p>
    <w:p w14:paraId="0A53337E">
      <w:pPr>
        <w:pStyle w:val="27"/>
        <w:spacing w:line="360" w:lineRule="auto"/>
        <w:ind w:firstLine="480" w:firstLineChars="200"/>
        <w:rPr>
          <w:lang w:eastAsia="zh-CN"/>
        </w:rPr>
      </w:pPr>
      <w:bookmarkStart w:id="8" w:name="OLE_LINK5"/>
      <w:r>
        <w:rPr>
          <w:lang w:eastAsia="zh-CN"/>
        </w:rPr>
        <w:t>本标准</w:t>
      </w:r>
      <w:bookmarkStart w:id="9" w:name="OLE_LINK14"/>
      <w:r>
        <w:rPr>
          <w:lang w:eastAsia="zh-CN"/>
        </w:rPr>
        <w:t>起草单位</w:t>
      </w:r>
      <w:r>
        <w:rPr>
          <w:rFonts w:hint="eastAsia"/>
          <w:lang w:eastAsia="zh-CN"/>
        </w:rPr>
        <w:t>：</w:t>
      </w:r>
      <w:bookmarkEnd w:id="8"/>
      <w:bookmarkEnd w:id="9"/>
      <w:r>
        <w:rPr>
          <w:rFonts w:hint="eastAsia"/>
          <w:lang w:eastAsia="zh-CN"/>
        </w:rPr>
        <w:t>北京大学、浙江省北大信息技术高等研究院。</w:t>
      </w:r>
    </w:p>
    <w:p w14:paraId="75C75617">
      <w:pPr>
        <w:pStyle w:val="27"/>
        <w:spacing w:line="360" w:lineRule="auto"/>
        <w:ind w:firstLine="480" w:firstLineChars="200"/>
        <w:rPr>
          <w:lang w:eastAsia="zh-CN"/>
        </w:rPr>
      </w:pPr>
      <w:bookmarkStart w:id="10" w:name="OLE_LINK6"/>
      <w:r>
        <w:rPr>
          <w:rFonts w:hint="eastAsia"/>
          <w:lang w:eastAsia="zh-CN"/>
        </w:rPr>
        <w:t>本标准起草人：</w:t>
      </w:r>
      <w:bookmarkEnd w:id="10"/>
      <w:r>
        <w:rPr>
          <w:rFonts w:hint="eastAsia"/>
          <w:lang w:eastAsia="zh-CN"/>
        </w:rPr>
        <w:t>郭耀、曹东刚、薛栋梁、范志强、雷瀚文、高秉玉、黄瑞哲、李少飞、张照博。</w:t>
      </w:r>
    </w:p>
    <w:bookmarkEnd w:id="7"/>
    <w:p w14:paraId="7B3E9E1F">
      <w:pPr>
        <w:pStyle w:val="5"/>
        <w:spacing w:line="360" w:lineRule="auto"/>
      </w:pPr>
      <w:bookmarkStart w:id="11" w:name="三主要工作过程"/>
      <w:r>
        <w:t>（三）主要工作过程</w:t>
      </w:r>
    </w:p>
    <w:p w14:paraId="2C450F83">
      <w:pPr>
        <w:pStyle w:val="28"/>
        <w:numPr>
          <w:ilvl w:val="0"/>
          <w:numId w:val="1"/>
        </w:numPr>
        <w:spacing w:line="360" w:lineRule="auto"/>
      </w:pPr>
      <w:r>
        <w:rPr>
          <w:b/>
          <w:bCs/>
        </w:rPr>
        <w:t>预研阶段</w:t>
      </w:r>
    </w:p>
    <w:p w14:paraId="64970D79">
      <w:pPr>
        <w:pStyle w:val="28"/>
        <w:numPr>
          <w:ilvl w:val="1"/>
          <w:numId w:val="2"/>
        </w:numPr>
        <w:spacing w:line="360" w:lineRule="auto"/>
        <w:rPr>
          <w:lang w:eastAsia="zh-CN"/>
        </w:rPr>
      </w:pPr>
      <w:r>
        <w:rPr>
          <w:rFonts w:hint="eastAsia"/>
          <w:lang w:eastAsia="zh-CN"/>
        </w:rPr>
        <w:t>课题组围绕工业物联网的核心需求进行了深入调研，重点分析了工厂环境下多种异构设备的资源管理和调度难题；工业控制系统（PLC、SCADA）与泛在操作系统的适配性；边缘计算、实时任务管理、低功耗设备兼容性等关键技术难点。</w:t>
      </w:r>
    </w:p>
    <w:p w14:paraId="35279E46">
      <w:pPr>
        <w:pStyle w:val="28"/>
        <w:numPr>
          <w:ilvl w:val="1"/>
          <w:numId w:val="2"/>
        </w:numPr>
        <w:spacing w:line="360" w:lineRule="auto"/>
        <w:rPr>
          <w:lang w:eastAsia="zh-CN"/>
        </w:rPr>
      </w:pPr>
      <w:r>
        <w:rPr>
          <w:rFonts w:hint="eastAsia"/>
          <w:lang w:eastAsia="zh-CN"/>
        </w:rPr>
        <w:t>通过对国内外工业物联网操作系统、嵌入式系统、实时控制架构的研究，课题组梳理了泛在操作系统在工业环境中的核心技术方向，并制定了详细的技术路线图。</w:t>
      </w:r>
    </w:p>
    <w:p w14:paraId="4BEFC1C4">
      <w:pPr>
        <w:pStyle w:val="28"/>
        <w:numPr>
          <w:ilvl w:val="0"/>
          <w:numId w:val="1"/>
        </w:numPr>
        <w:spacing w:line="360" w:lineRule="auto"/>
      </w:pPr>
      <w:r>
        <w:rPr>
          <w:b/>
          <w:bCs/>
        </w:rPr>
        <w:t>起草小组组建</w:t>
      </w:r>
    </w:p>
    <w:p w14:paraId="47E949FB">
      <w:pPr>
        <w:pStyle w:val="28"/>
        <w:numPr>
          <w:ilvl w:val="1"/>
          <w:numId w:val="2"/>
        </w:numPr>
        <w:spacing w:line="360" w:lineRule="auto"/>
        <w:rPr>
          <w:lang w:eastAsia="zh-CN"/>
        </w:rPr>
      </w:pPr>
      <w:r>
        <w:rPr>
          <w:lang w:eastAsia="zh-CN"/>
        </w:rPr>
        <w:t>根据各单位的专业优势和技术特长，组建了由</w:t>
      </w:r>
      <w:r>
        <w:rPr>
          <w:rFonts w:hint="eastAsia"/>
          <w:lang w:eastAsia="zh-CN"/>
        </w:rPr>
        <w:t>操作系统专家、工业控制工程师、AI研究人员、网络通信工程师</w:t>
      </w:r>
      <w:r>
        <w:rPr>
          <w:lang w:eastAsia="zh-CN"/>
        </w:rPr>
        <w:t>等多学科背景人员构成的起草小组</w:t>
      </w:r>
      <w:r>
        <w:rPr>
          <w:rFonts w:hint="eastAsia"/>
          <w:lang w:eastAsia="zh-CN"/>
        </w:rPr>
        <w:t>，确保研究工作的多学科交叉融合，提高课题成果的可落地性和实用性</w:t>
      </w:r>
      <w:r>
        <w:rPr>
          <w:lang w:eastAsia="zh-CN"/>
        </w:rPr>
        <w:t>。</w:t>
      </w:r>
    </w:p>
    <w:p w14:paraId="5BC7EA7D">
      <w:pPr>
        <w:pStyle w:val="28"/>
        <w:numPr>
          <w:ilvl w:val="1"/>
          <w:numId w:val="2"/>
        </w:numPr>
        <w:spacing w:line="360" w:lineRule="auto"/>
        <w:rPr>
          <w:lang w:eastAsia="zh-CN"/>
        </w:rPr>
      </w:pPr>
      <w:r>
        <w:rPr>
          <w:lang w:eastAsia="zh-CN"/>
        </w:rPr>
        <w:t>明确了起草小组各成员的职责和分工，确保标准起草工作有序进行。</w:t>
      </w:r>
    </w:p>
    <w:p w14:paraId="1F7BA21E">
      <w:pPr>
        <w:pStyle w:val="28"/>
        <w:numPr>
          <w:ilvl w:val="0"/>
          <w:numId w:val="1"/>
        </w:numPr>
        <w:spacing w:line="360" w:lineRule="auto"/>
      </w:pPr>
      <w:r>
        <w:rPr>
          <w:b/>
          <w:bCs/>
        </w:rPr>
        <w:t>标准起草</w:t>
      </w:r>
    </w:p>
    <w:p w14:paraId="6507112B">
      <w:pPr>
        <w:pStyle w:val="28"/>
        <w:numPr>
          <w:ilvl w:val="1"/>
          <w:numId w:val="2"/>
        </w:numPr>
        <w:spacing w:line="360" w:lineRule="auto"/>
        <w:rPr>
          <w:lang w:eastAsia="zh-CN"/>
        </w:rPr>
      </w:pPr>
      <w:bookmarkStart w:id="12" w:name="OLE_LINK7"/>
      <w:r>
        <w:rPr>
          <w:rFonts w:hint="eastAsia" w:ascii="宋体" w:hAnsi="宋体" w:eastAsia="宋体" w:cs="宋体"/>
          <w:lang w:eastAsia="zh-CN"/>
        </w:rPr>
        <w:t>2024年6月，</w:t>
      </w:r>
      <w:bookmarkEnd w:id="12"/>
      <w:r>
        <w:rPr>
          <w:lang w:eastAsia="zh-CN"/>
        </w:rPr>
        <w:t>起草小组开始起草《</w:t>
      </w:r>
      <w:r>
        <w:rPr>
          <w:rFonts w:hint="eastAsia"/>
          <w:lang w:eastAsia="zh-CN"/>
        </w:rPr>
        <w:t>泛在操作系统</w:t>
      </w:r>
      <w:bookmarkStart w:id="13" w:name="OLE_LINK8"/>
      <w:r>
        <w:rPr>
          <w:rFonts w:hint="eastAsia"/>
          <w:lang w:eastAsia="zh-CN"/>
        </w:rPr>
        <w:t xml:space="preserve">    </w:t>
      </w:r>
      <w:r>
        <w:rPr>
          <w:rFonts w:hint="eastAsia" w:ascii="宋体" w:hAnsi="宋体" w:eastAsia="宋体" w:cs="宋体"/>
          <w:lang w:eastAsia="zh-CN"/>
        </w:rPr>
        <w:t>第2部分：</w:t>
      </w:r>
      <w:bookmarkEnd w:id="13"/>
      <w:r>
        <w:rPr>
          <w:rFonts w:hint="eastAsia"/>
          <w:lang w:eastAsia="zh-CN"/>
        </w:rPr>
        <w:t>工业物联应用框架定义</w:t>
      </w:r>
      <w:r>
        <w:rPr>
          <w:lang w:eastAsia="zh-CN"/>
        </w:rPr>
        <w:t>》。</w:t>
      </w:r>
    </w:p>
    <w:p w14:paraId="658B422A">
      <w:pPr>
        <w:pStyle w:val="28"/>
        <w:numPr>
          <w:ilvl w:val="1"/>
          <w:numId w:val="2"/>
        </w:numPr>
        <w:spacing w:line="360" w:lineRule="auto"/>
        <w:rPr>
          <w:lang w:eastAsia="zh-CN"/>
        </w:rPr>
      </w:pPr>
      <w:r>
        <w:rPr>
          <w:rFonts w:hint="eastAsia"/>
          <w:lang w:eastAsia="zh-CN"/>
        </w:rPr>
        <w:t>标准起草过程中，重点考虑了：工业物联网环境的多样性（PLC、传感器、嵌入式设备、云计算平台）；资源抽象方式、工业通信协议适配、实时任务管理等关键问题；跨平台、跨设备的可扩展性，确保系统适用于不同工业场景。</w:t>
      </w:r>
    </w:p>
    <w:p w14:paraId="09BA9D41">
      <w:pPr>
        <w:pStyle w:val="28"/>
        <w:numPr>
          <w:ilvl w:val="1"/>
          <w:numId w:val="2"/>
        </w:numPr>
        <w:spacing w:line="360" w:lineRule="auto"/>
        <w:rPr>
          <w:lang w:eastAsia="zh-CN"/>
        </w:rPr>
      </w:pPr>
      <w:r>
        <w:rPr>
          <w:lang w:eastAsia="zh-CN"/>
        </w:rPr>
        <w:t>针对</w:t>
      </w:r>
      <w:r>
        <w:rPr>
          <w:rFonts w:hint="eastAsia"/>
          <w:lang w:eastAsia="zh-CN"/>
        </w:rPr>
        <w:t>工业物联泛在操作应用开发</w:t>
      </w:r>
      <w:r>
        <w:rPr>
          <w:lang w:eastAsia="zh-CN"/>
        </w:rPr>
        <w:t>实现所需的系统接口、不同</w:t>
      </w:r>
      <w:r>
        <w:rPr>
          <w:rFonts w:hint="eastAsia"/>
          <w:lang w:eastAsia="zh-CN"/>
        </w:rPr>
        <w:t>应用框架协同</w:t>
      </w:r>
      <w:r>
        <w:rPr>
          <w:lang w:eastAsia="zh-CN"/>
        </w:rPr>
        <w:t>、跨平台互联互通</w:t>
      </w:r>
      <w:r>
        <w:rPr>
          <w:rFonts w:hint="eastAsia"/>
          <w:lang w:eastAsia="zh-CN"/>
        </w:rPr>
        <w:t>以及开发工业物联应用进</w:t>
      </w:r>
      <w:r>
        <w:rPr>
          <w:lang w:eastAsia="zh-CN"/>
        </w:rPr>
        <w:t>行了详细的规定，以确保通过该标准能够实现</w:t>
      </w:r>
      <w:r>
        <w:rPr>
          <w:rFonts w:hint="eastAsia"/>
          <w:lang w:eastAsia="zh-CN"/>
        </w:rPr>
        <w:t>工业物联泛在操作系统设计规范的标</w:t>
      </w:r>
      <w:r>
        <w:rPr>
          <w:lang w:eastAsia="zh-CN"/>
        </w:rPr>
        <w:t>准化，为应用程序提供统一的</w:t>
      </w:r>
      <w:r>
        <w:rPr>
          <w:rFonts w:hint="eastAsia"/>
          <w:lang w:eastAsia="zh-CN"/>
        </w:rPr>
        <w:t>开发服</w:t>
      </w:r>
      <w:r>
        <w:rPr>
          <w:lang w:eastAsia="zh-CN"/>
        </w:rPr>
        <w:t>务。</w:t>
      </w:r>
    </w:p>
    <w:p w14:paraId="572F8673">
      <w:pPr>
        <w:pStyle w:val="28"/>
        <w:numPr>
          <w:ilvl w:val="0"/>
          <w:numId w:val="1"/>
        </w:numPr>
        <w:spacing w:line="360" w:lineRule="auto"/>
      </w:pPr>
      <w:r>
        <w:rPr>
          <w:b/>
          <w:bCs/>
        </w:rPr>
        <w:t>内部评审与修改</w:t>
      </w:r>
    </w:p>
    <w:p w14:paraId="5545E0B0">
      <w:pPr>
        <w:pStyle w:val="28"/>
        <w:numPr>
          <w:ilvl w:val="1"/>
          <w:numId w:val="2"/>
        </w:numPr>
        <w:spacing w:line="360" w:lineRule="auto"/>
        <w:jc w:val="both"/>
        <w:rPr>
          <w:lang w:eastAsia="zh-CN"/>
        </w:rPr>
      </w:pPr>
      <w:bookmarkStart w:id="14" w:name="OLE_LINK9"/>
      <w:r>
        <w:rPr>
          <w:rFonts w:hint="eastAsia" w:ascii="宋体" w:hAnsi="宋体" w:eastAsia="宋体" w:cs="宋体"/>
          <w:lang w:eastAsia="zh-CN"/>
        </w:rPr>
        <w:t>2024年10月形成标准初稿。</w:t>
      </w:r>
      <w:bookmarkEnd w:id="14"/>
      <w:r>
        <w:rPr>
          <w:lang w:eastAsia="zh-CN"/>
        </w:rPr>
        <w:t>各起草单位代表对标准初稿进行了细致的审查，从技术准确性、内容完整性、条款合理性、语言规范性等多个方面提出了修改意见和建议</w:t>
      </w:r>
      <w:bookmarkStart w:id="15" w:name="OLE_LINK10"/>
      <w:r>
        <w:rPr>
          <w:rFonts w:hint="eastAsia"/>
          <w:lang w:eastAsia="zh-CN"/>
        </w:rPr>
        <w:t>，起草小组根据内部审查意见进行修改完善</w:t>
      </w:r>
      <w:bookmarkEnd w:id="15"/>
      <w:r>
        <w:rPr>
          <w:lang w:eastAsia="zh-CN"/>
        </w:rPr>
        <w:t>。</w:t>
      </w:r>
    </w:p>
    <w:p w14:paraId="1CC6B620">
      <w:pPr>
        <w:pStyle w:val="28"/>
        <w:numPr>
          <w:ilvl w:val="1"/>
          <w:numId w:val="2"/>
        </w:numPr>
        <w:spacing w:line="360" w:lineRule="auto"/>
        <w:rPr>
          <w:lang w:eastAsia="zh-CN"/>
        </w:rPr>
      </w:pPr>
      <w:bookmarkStart w:id="16" w:name="OLE_LINK11"/>
      <w:r>
        <w:rPr>
          <w:rFonts w:hint="eastAsia" w:ascii="宋体" w:hAnsi="宋体" w:eastAsia="宋体" w:cs="宋体"/>
          <w:lang w:eastAsia="zh-CN"/>
        </w:rPr>
        <w:t>2024年11月通过团标立项评审。</w:t>
      </w:r>
      <w:bookmarkEnd w:id="16"/>
    </w:p>
    <w:p w14:paraId="74C9A3E4">
      <w:pPr>
        <w:pStyle w:val="28"/>
        <w:numPr>
          <w:ilvl w:val="1"/>
          <w:numId w:val="2"/>
        </w:numPr>
        <w:spacing w:line="360" w:lineRule="auto"/>
        <w:rPr>
          <w:lang w:eastAsia="zh-CN"/>
        </w:rPr>
      </w:pPr>
      <w:bookmarkStart w:id="17" w:name="OLE_LINK12"/>
      <w:r>
        <w:rPr>
          <w:rFonts w:hint="eastAsia" w:ascii="宋体" w:hAnsi="宋体" w:eastAsia="宋体" w:cs="宋体"/>
          <w:lang w:eastAsia="zh-CN"/>
        </w:rPr>
        <w:t>2025年3月</w:t>
      </w:r>
      <w:r>
        <w:rPr>
          <w:rFonts w:hint="eastAsia"/>
          <w:lang w:eastAsia="zh-CN"/>
        </w:rPr>
        <w:t>形成标准征求意见稿</w:t>
      </w:r>
      <w:r>
        <w:rPr>
          <w:lang w:eastAsia="zh-CN"/>
        </w:rPr>
        <w:t>。</w:t>
      </w:r>
      <w:r>
        <w:rPr>
          <w:rFonts w:hint="eastAsia" w:ascii="宋体" w:hAnsi="宋体" w:eastAsia="宋体" w:cs="宋体"/>
          <w:lang w:eastAsia="zh-CN"/>
        </w:rPr>
        <w:t>起草小组</w:t>
      </w:r>
      <w:bookmarkEnd w:id="17"/>
      <w:r>
        <w:rPr>
          <w:lang w:eastAsia="zh-CN"/>
        </w:rPr>
        <w:t>根据</w:t>
      </w:r>
      <w:r>
        <w:rPr>
          <w:rFonts w:hint="eastAsia"/>
          <w:lang w:eastAsia="zh-CN"/>
        </w:rPr>
        <w:t>专家</w:t>
      </w:r>
      <w:r>
        <w:rPr>
          <w:lang w:eastAsia="zh-CN"/>
        </w:rPr>
        <w:t>评审意见，对标准进行了修改完善，进一步优化了标准的结构和内容。</w:t>
      </w:r>
    </w:p>
    <w:bookmarkEnd w:id="3"/>
    <w:bookmarkEnd w:id="11"/>
    <w:p w14:paraId="76A14781">
      <w:pPr>
        <w:pStyle w:val="4"/>
        <w:spacing w:line="360" w:lineRule="auto"/>
        <w:rPr>
          <w:lang w:eastAsia="zh-CN"/>
        </w:rPr>
      </w:pPr>
      <w:bookmarkStart w:id="18" w:name="二标准编制原则和确定标准主要内容的依据"/>
      <w:r>
        <w:rPr>
          <w:lang w:eastAsia="zh-CN"/>
        </w:rPr>
        <w:t>二、标准编制原则和确定标准主要内容的依据</w:t>
      </w:r>
    </w:p>
    <w:p w14:paraId="24410C70">
      <w:pPr>
        <w:pStyle w:val="5"/>
        <w:spacing w:line="360" w:lineRule="auto"/>
      </w:pPr>
      <w:bookmarkStart w:id="19" w:name="一编制原则"/>
      <w:r>
        <w:t>（一）编制原则</w:t>
      </w:r>
    </w:p>
    <w:p w14:paraId="6E86DFCE">
      <w:pPr>
        <w:pStyle w:val="28"/>
        <w:numPr>
          <w:ilvl w:val="0"/>
          <w:numId w:val="3"/>
        </w:numPr>
        <w:spacing w:line="360" w:lineRule="auto"/>
      </w:pPr>
      <w:r>
        <w:rPr>
          <w:b/>
          <w:bCs/>
        </w:rPr>
        <w:t>科学性原则</w:t>
      </w:r>
    </w:p>
    <w:p w14:paraId="4744C7BD">
      <w:pPr>
        <w:pStyle w:val="75"/>
        <w:numPr>
          <w:ilvl w:val="1"/>
          <w:numId w:val="2"/>
        </w:numPr>
        <w:spacing w:line="360" w:lineRule="auto"/>
        <w:ind w:firstLineChars="0"/>
        <w:rPr>
          <w:lang w:eastAsia="zh-CN"/>
        </w:rPr>
      </w:pPr>
      <w:r>
        <w:rPr>
          <w:rFonts w:hint="eastAsia"/>
          <w:lang w:eastAsia="zh-CN"/>
        </w:rPr>
        <w:t>本标准基于工业物联网的核心技术需求，涵盖泛在计算、边缘智能、工业控制、异构设备互联等关键技术，确保标准内容准确反映工业物联环境下泛在操作系统的体系架构和功能要求。标准起草过程中，参考了国内外在工业物联网操作系统、实时控制、工业通信协议等领域的最新研究成果，确保其科学严谨</w:t>
      </w:r>
      <w:r>
        <w:rPr>
          <w:lang w:eastAsia="zh-CN"/>
        </w:rPr>
        <w:t>。</w:t>
      </w:r>
    </w:p>
    <w:p w14:paraId="34AF78B3">
      <w:pPr>
        <w:pStyle w:val="28"/>
        <w:numPr>
          <w:ilvl w:val="0"/>
          <w:numId w:val="3"/>
        </w:numPr>
        <w:spacing w:line="360" w:lineRule="auto"/>
      </w:pPr>
      <w:r>
        <w:rPr>
          <w:b/>
          <w:bCs/>
        </w:rPr>
        <w:t>实用性原则</w:t>
      </w:r>
    </w:p>
    <w:p w14:paraId="4AB6391A">
      <w:pPr>
        <w:pStyle w:val="28"/>
        <w:numPr>
          <w:ilvl w:val="1"/>
          <w:numId w:val="2"/>
        </w:numPr>
        <w:spacing w:line="360" w:lineRule="auto"/>
        <w:rPr>
          <w:lang w:eastAsia="zh-CN"/>
        </w:rPr>
      </w:pPr>
      <w:r>
        <w:rPr>
          <w:rFonts w:hint="eastAsia"/>
          <w:lang w:eastAsia="zh-CN"/>
        </w:rPr>
        <w:t>结合工业现场的实际应用需求，标准重点关注感知全面化、连接泛 在化、通信多样化、认知实时化、控制柔性化、终端智能化、计算 边缘化等关键问题。通过明确系统架构、软硬件兼容性、接口规范，指导工业企业和系统开发者在工业物联网环境下高效部署泛在操作系统，提高工业自动化和智能化水平</w:t>
      </w:r>
      <w:r>
        <w:rPr>
          <w:lang w:eastAsia="zh-CN"/>
        </w:rPr>
        <w:t>。</w:t>
      </w:r>
    </w:p>
    <w:p w14:paraId="4BB97EA0">
      <w:pPr>
        <w:pStyle w:val="28"/>
        <w:numPr>
          <w:ilvl w:val="0"/>
          <w:numId w:val="3"/>
        </w:numPr>
        <w:spacing w:line="360" w:lineRule="auto"/>
      </w:pPr>
      <w:r>
        <w:rPr>
          <w:b/>
          <w:bCs/>
        </w:rPr>
        <w:t>协调性原则</w:t>
      </w:r>
    </w:p>
    <w:p w14:paraId="263B9459">
      <w:pPr>
        <w:pStyle w:val="28"/>
        <w:numPr>
          <w:ilvl w:val="1"/>
          <w:numId w:val="2"/>
        </w:numPr>
        <w:spacing w:line="360" w:lineRule="auto"/>
        <w:rPr>
          <w:lang w:eastAsia="zh-CN"/>
        </w:rPr>
      </w:pPr>
      <w:r>
        <w:rPr>
          <w:lang w:eastAsia="zh-CN"/>
        </w:rPr>
        <w:t>充分考虑与现有国家标准、行业标准以及国际标准的协调性。在制定过程中，对相关标准进行了深入研究，避免与现有标准产生冲突，并尽量采用已有的通用技术术语和定义，确保本标准能够与其他相关标准相互衔接、配套使用。</w:t>
      </w:r>
    </w:p>
    <w:p w14:paraId="56B6D41A">
      <w:pPr>
        <w:pStyle w:val="28"/>
        <w:numPr>
          <w:ilvl w:val="0"/>
          <w:numId w:val="3"/>
        </w:numPr>
        <w:spacing w:line="360" w:lineRule="auto"/>
      </w:pPr>
      <w:r>
        <w:rPr>
          <w:b/>
          <w:bCs/>
        </w:rPr>
        <w:t>前瞻性原则</w:t>
      </w:r>
    </w:p>
    <w:p w14:paraId="3EF3C502">
      <w:pPr>
        <w:pStyle w:val="28"/>
        <w:numPr>
          <w:ilvl w:val="1"/>
          <w:numId w:val="2"/>
        </w:numPr>
        <w:spacing w:line="360" w:lineRule="auto"/>
        <w:rPr>
          <w:lang w:eastAsia="zh-CN"/>
        </w:rPr>
      </w:pPr>
      <w:r>
        <w:rPr>
          <w:rFonts w:hint="eastAsia"/>
          <w:lang w:eastAsia="zh-CN"/>
        </w:rPr>
        <w:t>在满足当前工业物联网需求的基础上，标准充分考虑未来工业自动化、智能制造的发展趋势，为智能边缘计算、AI驱动的预测性维护、自适应工业控制等新兴技术的落地预留空间。例如，在设备自组网、智能传感器、工业控制元、低功耗计算、空中升级等方面采用了灵活的架构设计，以适应未来工业领域的新应用场景和技术发展</w:t>
      </w:r>
      <w:r>
        <w:rPr>
          <w:lang w:eastAsia="zh-CN"/>
        </w:rPr>
        <w:t>。</w:t>
      </w:r>
    </w:p>
    <w:bookmarkEnd w:id="19"/>
    <w:p w14:paraId="28D9B638">
      <w:pPr>
        <w:pStyle w:val="5"/>
        <w:spacing w:line="360" w:lineRule="auto"/>
        <w:rPr>
          <w:lang w:eastAsia="zh-CN"/>
        </w:rPr>
      </w:pPr>
      <w:bookmarkStart w:id="20" w:name="二确定标准主要内容的依据"/>
      <w:r>
        <w:rPr>
          <w:lang w:eastAsia="zh-CN"/>
        </w:rPr>
        <w:t>（二）确定标准主要内容的依据</w:t>
      </w:r>
    </w:p>
    <w:p w14:paraId="433049AD">
      <w:pPr>
        <w:pStyle w:val="28"/>
        <w:numPr>
          <w:ilvl w:val="0"/>
          <w:numId w:val="4"/>
        </w:numPr>
        <w:spacing w:line="360" w:lineRule="auto"/>
      </w:pPr>
      <w:r>
        <w:rPr>
          <w:b/>
          <w:bCs/>
        </w:rPr>
        <w:t>技术需求分析</w:t>
      </w:r>
    </w:p>
    <w:p w14:paraId="2E8748B1">
      <w:pPr>
        <w:pStyle w:val="28"/>
        <w:numPr>
          <w:ilvl w:val="1"/>
          <w:numId w:val="2"/>
        </w:numPr>
        <w:spacing w:line="360" w:lineRule="auto"/>
        <w:rPr>
          <w:lang w:eastAsia="zh-CN"/>
        </w:rPr>
      </w:pPr>
      <w:r>
        <w:rPr>
          <w:rFonts w:hint="eastAsia"/>
          <w:lang w:eastAsia="zh-CN"/>
        </w:rPr>
        <w:t>通过对工业物联网领域的深入研究和实际应用场景分析，标准明确了泛在操作系统在设备管理、数据处理、智能调度等方面的关键作用。</w:t>
      </w:r>
      <w:r>
        <w:rPr>
          <w:lang w:eastAsia="zh-CN"/>
        </w:rPr>
        <w:t>例如，</w:t>
      </w:r>
      <w:r>
        <w:rPr>
          <w:rFonts w:hint="eastAsia"/>
          <w:lang w:eastAsia="zh-CN"/>
        </w:rPr>
        <w:t>支持多种工业传感器、PLC、嵌入式计算设备的统一管理；保障工厂设备实时任务调度、低时延响应；在边缘端处理数据，减少对云端的依赖，优化设备智能化水平。</w:t>
      </w:r>
    </w:p>
    <w:p w14:paraId="16FC75C9">
      <w:pPr>
        <w:pStyle w:val="28"/>
        <w:numPr>
          <w:ilvl w:val="0"/>
          <w:numId w:val="4"/>
        </w:numPr>
        <w:spacing w:line="360" w:lineRule="auto"/>
      </w:pPr>
      <w:r>
        <w:rPr>
          <w:b/>
          <w:bCs/>
        </w:rPr>
        <w:t>行业最佳实践</w:t>
      </w:r>
    </w:p>
    <w:p w14:paraId="6E3F5E6F">
      <w:pPr>
        <w:pStyle w:val="28"/>
        <w:numPr>
          <w:ilvl w:val="1"/>
          <w:numId w:val="2"/>
        </w:numPr>
        <w:spacing w:line="360" w:lineRule="auto"/>
        <w:rPr>
          <w:lang w:eastAsia="zh-CN"/>
        </w:rPr>
      </w:pPr>
      <w:r>
        <w:rPr>
          <w:rFonts w:hint="eastAsia"/>
          <w:lang w:eastAsia="zh-CN"/>
        </w:rPr>
        <w:t>借鉴了行业内在工业物联网操作系统应用方面的最佳实践经验。各起草单位在工业自动化、智能制造、实时控制等方面积累了丰富的技术和应用经验，这些经验在标准制定过程中得到了充分体现。例如，在设备管理与互通方面，参考了部分企业在智能工厂和生产调度系统中的实际需求和实现方式，确保标准内容具有可操作性和实用性</w:t>
      </w:r>
      <w:r>
        <w:rPr>
          <w:lang w:eastAsia="zh-CN"/>
        </w:rPr>
        <w:t>。</w:t>
      </w:r>
    </w:p>
    <w:p w14:paraId="1016ADEE">
      <w:pPr>
        <w:pStyle w:val="28"/>
        <w:numPr>
          <w:ilvl w:val="0"/>
          <w:numId w:val="4"/>
        </w:numPr>
        <w:spacing w:line="360" w:lineRule="auto"/>
      </w:pPr>
      <w:r>
        <w:rPr>
          <w:b/>
          <w:bCs/>
        </w:rPr>
        <w:t>相关标准参考</w:t>
      </w:r>
    </w:p>
    <w:p w14:paraId="511B42A0">
      <w:pPr>
        <w:pStyle w:val="28"/>
        <w:numPr>
          <w:ilvl w:val="1"/>
          <w:numId w:val="2"/>
        </w:numPr>
        <w:spacing w:line="360" w:lineRule="auto"/>
        <w:rPr>
          <w:lang w:eastAsia="zh-CN"/>
        </w:rPr>
      </w:pPr>
      <w:r>
        <w:rPr>
          <w:lang w:eastAsia="zh-CN"/>
        </w:rPr>
        <w:t>参考了国内外相关的网络安全标准、信息技术标准以及标准化文件的结构和起草规则等标准。如GB/T 1.1 - 2020《标准化工作导则 第1部分：标准化文件的结构和起草规则》为本标准的结构和起草提供了规范依据；同时，还参考了部分</w:t>
      </w:r>
      <w:r>
        <w:rPr>
          <w:rFonts w:hint="eastAsia"/>
          <w:lang w:eastAsia="zh-CN"/>
        </w:rPr>
        <w:t>工业物联与操作系统设计的相</w:t>
      </w:r>
      <w:r>
        <w:rPr>
          <w:lang w:eastAsia="zh-CN"/>
        </w:rPr>
        <w:t>关规定，使本标准在内容上与国际标准接轨，提高了标准的通用性和国际认可度。</w:t>
      </w:r>
    </w:p>
    <w:bookmarkEnd w:id="18"/>
    <w:bookmarkEnd w:id="20"/>
    <w:p w14:paraId="1DD7D2B0">
      <w:pPr>
        <w:pStyle w:val="4"/>
        <w:spacing w:line="360" w:lineRule="auto"/>
        <w:rPr>
          <w:lang w:eastAsia="zh-CN"/>
        </w:rPr>
      </w:pPr>
      <w:bookmarkStart w:id="21" w:name="三主要试验或验证的分析综述技术经济论证预期的经济效果"/>
      <w:r>
        <w:rPr>
          <w:lang w:eastAsia="zh-CN"/>
        </w:rPr>
        <w:t>三、主要试验（或验证）的分析、综述，技术经济论证，预期的经济效果</w:t>
      </w:r>
    </w:p>
    <w:p w14:paraId="7BBA6640">
      <w:pPr>
        <w:pStyle w:val="5"/>
        <w:spacing w:line="360" w:lineRule="auto"/>
        <w:rPr>
          <w:lang w:eastAsia="zh-CN"/>
        </w:rPr>
      </w:pPr>
      <w:bookmarkStart w:id="22" w:name="一主要试验或验证的分析综述"/>
      <w:r>
        <w:rPr>
          <w:lang w:eastAsia="zh-CN"/>
        </w:rPr>
        <w:t>（一）主要试验（或验证）的分析、综述</w:t>
      </w:r>
    </w:p>
    <w:p w14:paraId="38F1ADEC">
      <w:pPr>
        <w:pStyle w:val="28"/>
        <w:numPr>
          <w:ilvl w:val="0"/>
          <w:numId w:val="5"/>
        </w:numPr>
        <w:spacing w:line="360" w:lineRule="auto"/>
      </w:pPr>
      <w:r>
        <w:rPr>
          <w:b/>
          <w:bCs/>
        </w:rPr>
        <w:t>接口功能验证</w:t>
      </w:r>
    </w:p>
    <w:p w14:paraId="65895671">
      <w:pPr>
        <w:pStyle w:val="28"/>
        <w:numPr>
          <w:ilvl w:val="1"/>
          <w:numId w:val="2"/>
        </w:numPr>
        <w:spacing w:line="360" w:lineRule="auto"/>
        <w:rPr>
          <w:lang w:eastAsia="zh-CN"/>
        </w:rPr>
      </w:pPr>
      <w:r>
        <w:rPr>
          <w:rFonts w:hint="eastAsia"/>
          <w:lang w:eastAsia="zh-CN"/>
        </w:rPr>
        <w:t>在标准制定过程中，部分起草单位对泛在操作系统的核心功能进行了初步试验验证。通过搭建模拟工业物联网环境，对标准中规定的</w:t>
      </w:r>
      <w:bookmarkStart w:id="23" w:name="OLE_LINK3"/>
      <w:r>
        <w:rPr>
          <w:rFonts w:hint="eastAsia"/>
          <w:lang w:eastAsia="zh-CN"/>
        </w:rPr>
        <w:t>资源抽象</w:t>
      </w:r>
      <w:bookmarkEnd w:id="23"/>
      <w:r>
        <w:rPr>
          <w:rFonts w:hint="eastAsia"/>
          <w:lang w:eastAsia="zh-CN"/>
        </w:rPr>
        <w:t>、设备管理、边缘智能、工业控制等功能进行试验验证。试验结果表明，按照标准定义的系统架构和接口要求，能够有效支撑工业场景中的设备管理、数据交互和智能控制，满足工业物联网的应用需求。</w:t>
      </w:r>
    </w:p>
    <w:p w14:paraId="5556D699">
      <w:pPr>
        <w:pStyle w:val="28"/>
        <w:numPr>
          <w:ilvl w:val="1"/>
          <w:numId w:val="2"/>
        </w:numPr>
        <w:spacing w:line="360" w:lineRule="auto"/>
        <w:rPr>
          <w:lang w:eastAsia="zh-CN"/>
        </w:rPr>
      </w:pPr>
      <w:r>
        <w:rPr>
          <w:lang w:eastAsia="zh-CN"/>
        </w:rPr>
        <w:t>在接口功能验证过程中，发现了一些在实际应用中可能出现的问题，如部分接口在跨平台调用时存在性能损耗的情况。针对这些问题，起草小组对标准中的接口参数和调用方式进行了优化调整，以提高接口的性能和稳定性。</w:t>
      </w:r>
    </w:p>
    <w:p w14:paraId="7F737DC6">
      <w:pPr>
        <w:pStyle w:val="28"/>
        <w:numPr>
          <w:ilvl w:val="0"/>
          <w:numId w:val="5"/>
        </w:numPr>
        <w:spacing w:line="360" w:lineRule="auto"/>
      </w:pPr>
      <w:r>
        <w:rPr>
          <w:b/>
          <w:bCs/>
        </w:rPr>
        <w:t>接口一致性验证</w:t>
      </w:r>
    </w:p>
    <w:p w14:paraId="0CAD1F1A">
      <w:pPr>
        <w:pStyle w:val="28"/>
        <w:numPr>
          <w:ilvl w:val="1"/>
          <w:numId w:val="2"/>
        </w:numPr>
        <w:spacing w:line="360" w:lineRule="auto"/>
        <w:rPr>
          <w:lang w:eastAsia="zh-CN"/>
        </w:rPr>
      </w:pPr>
      <w:r>
        <w:rPr>
          <w:rFonts w:hint="eastAsia"/>
          <w:lang w:eastAsia="zh-CN"/>
        </w:rPr>
        <w:t>为验证本标准在工业物联网环境中的适用性，起草单位选取了多种类型的工业传感器、PLC 控制器、边缘计算设备进行测试，确保不同厂商、不同协议的设备能够按照标准要求进行互联互通。测试结果表明，在标准规定的网络协议（如 MQTT、OPC UA、Modbus）下，各类设备均可稳定通信，确保数据可靠传输和远程控制的可行性</w:t>
      </w:r>
      <w:r>
        <w:rPr>
          <w:lang w:eastAsia="zh-CN"/>
        </w:rPr>
        <w:t>。</w:t>
      </w:r>
    </w:p>
    <w:bookmarkEnd w:id="22"/>
    <w:p w14:paraId="688ED9D2">
      <w:pPr>
        <w:pStyle w:val="5"/>
        <w:spacing w:line="360" w:lineRule="auto"/>
      </w:pPr>
      <w:bookmarkStart w:id="24" w:name="二技术经济论证"/>
      <w:r>
        <w:t>（二）技术经济论证</w:t>
      </w:r>
    </w:p>
    <w:p w14:paraId="4B474207">
      <w:pPr>
        <w:pStyle w:val="28"/>
        <w:numPr>
          <w:ilvl w:val="0"/>
          <w:numId w:val="6"/>
        </w:numPr>
        <w:spacing w:line="360" w:lineRule="auto"/>
      </w:pPr>
      <w:r>
        <w:rPr>
          <w:b/>
          <w:bCs/>
        </w:rPr>
        <w:t>技术可行性</w:t>
      </w:r>
    </w:p>
    <w:p w14:paraId="07BCE03C">
      <w:pPr>
        <w:pStyle w:val="28"/>
        <w:numPr>
          <w:ilvl w:val="1"/>
          <w:numId w:val="2"/>
        </w:numPr>
        <w:spacing w:line="360" w:lineRule="auto"/>
        <w:rPr>
          <w:lang w:eastAsia="zh-CN"/>
        </w:rPr>
      </w:pPr>
      <w:r>
        <w:rPr>
          <w:rFonts w:hint="eastAsia"/>
          <w:lang w:eastAsia="zh-CN"/>
        </w:rPr>
        <w:t>从技术角度来看，本标准是基于工业物联网操作系统、实时计算、边缘 AI、工业自动化控制等成熟技术，结合工业领域的实际应用场景制定。在标准起草过程中，通过多轮功能验证、互联兼容性测试、性能评估，证明本标准在工业环境下的技术可行性，为企业构建工业级泛在操作系统提供技术指导</w:t>
      </w:r>
      <w:r>
        <w:rPr>
          <w:lang w:eastAsia="zh-CN"/>
        </w:rPr>
        <w:t>。</w:t>
      </w:r>
    </w:p>
    <w:p w14:paraId="73F32187">
      <w:pPr>
        <w:pStyle w:val="28"/>
        <w:numPr>
          <w:ilvl w:val="0"/>
          <w:numId w:val="6"/>
        </w:numPr>
        <w:spacing w:line="360" w:lineRule="auto"/>
      </w:pPr>
      <w:r>
        <w:rPr>
          <w:b/>
          <w:bCs/>
        </w:rPr>
        <w:t>经济合理性</w:t>
      </w:r>
    </w:p>
    <w:p w14:paraId="515A4009">
      <w:pPr>
        <w:pStyle w:val="28"/>
        <w:numPr>
          <w:ilvl w:val="1"/>
          <w:numId w:val="2"/>
        </w:numPr>
        <w:spacing w:line="360" w:lineRule="auto"/>
        <w:rPr>
          <w:lang w:eastAsia="zh-CN"/>
        </w:rPr>
      </w:pPr>
      <w:r>
        <w:rPr>
          <w:rFonts w:hint="eastAsia"/>
          <w:lang w:eastAsia="zh-CN"/>
        </w:rPr>
        <w:t>本标准的实施将有效降低工业企业的开发、集成和运维成本。通过实现工业物联网设备与泛在操作系统的标准化适配，可减少设备兼容性问题，提高跨厂商设备的互操作性，降低企业定制化开发的成本。同时，边缘计算与智能调度的优化，有助于减少数据传输带宽和云计算资源消耗，降低长期运营成本</w:t>
      </w:r>
      <w:r>
        <w:rPr>
          <w:lang w:eastAsia="zh-CN"/>
        </w:rPr>
        <w:t>。例如，</w:t>
      </w:r>
      <w:r>
        <w:rPr>
          <w:rFonts w:hint="eastAsia"/>
          <w:lang w:eastAsia="zh-CN"/>
        </w:rPr>
        <w:t>工厂</w:t>
      </w:r>
      <w:r>
        <w:rPr>
          <w:lang w:eastAsia="zh-CN"/>
        </w:rPr>
        <w:t>在进行</w:t>
      </w:r>
      <w:r>
        <w:rPr>
          <w:rFonts w:hint="eastAsia"/>
          <w:lang w:eastAsia="zh-CN"/>
        </w:rPr>
        <w:t>工业物联数字化</w:t>
      </w:r>
      <w:r>
        <w:rPr>
          <w:lang w:eastAsia="zh-CN"/>
        </w:rPr>
        <w:t>建设时，无需针对不同的硬件和软件平台重新开发安全服务接口，可直接按照本标准进行接口的对接和集成，从而节省大量的人力、物力和财力资源。</w:t>
      </w:r>
    </w:p>
    <w:bookmarkEnd w:id="24"/>
    <w:p w14:paraId="0E578D30">
      <w:pPr>
        <w:pStyle w:val="5"/>
        <w:spacing w:line="360" w:lineRule="auto"/>
      </w:pPr>
      <w:bookmarkStart w:id="25" w:name="三预期的经济效果"/>
      <w:r>
        <w:t>（三）预期的经济效果</w:t>
      </w:r>
    </w:p>
    <w:p w14:paraId="4FD01DD6">
      <w:pPr>
        <w:pStyle w:val="28"/>
        <w:numPr>
          <w:ilvl w:val="0"/>
          <w:numId w:val="7"/>
        </w:numPr>
        <w:spacing w:line="360" w:lineRule="auto"/>
      </w:pPr>
      <w:r>
        <w:rPr>
          <w:b/>
          <w:bCs/>
        </w:rPr>
        <w:t>提高产业竞争力</w:t>
      </w:r>
    </w:p>
    <w:p w14:paraId="7E158BCE">
      <w:pPr>
        <w:pStyle w:val="28"/>
        <w:numPr>
          <w:ilvl w:val="1"/>
          <w:numId w:val="2"/>
        </w:numPr>
        <w:spacing w:line="360" w:lineRule="auto"/>
        <w:rPr>
          <w:lang w:eastAsia="zh-CN"/>
        </w:rPr>
      </w:pPr>
      <w:r>
        <w:rPr>
          <w:lang w:eastAsia="zh-CN"/>
        </w:rPr>
        <w:t>本</w:t>
      </w:r>
      <w:r>
        <w:rPr>
          <w:rFonts w:hint="eastAsia"/>
          <w:lang w:eastAsia="zh-CN"/>
        </w:rPr>
        <w:t>标准的制定和实施将促进工业物联网操作系统领域的技术发展，提高国内企业在工业自动化、智能制造、边缘计算等领域的国际竞争力。通过标准化泛在操作系统的关键技术和应用模式，降低企业间的技术壁垒，提升工业物联网相关产业的整体技术水平，并为智能工厂建设提供统一的技术规范</w:t>
      </w:r>
      <w:r>
        <w:rPr>
          <w:lang w:eastAsia="zh-CN"/>
        </w:rPr>
        <w:t>。</w:t>
      </w:r>
    </w:p>
    <w:p w14:paraId="1BA161B6">
      <w:pPr>
        <w:pStyle w:val="28"/>
        <w:numPr>
          <w:ilvl w:val="0"/>
          <w:numId w:val="7"/>
        </w:numPr>
        <w:spacing w:line="360" w:lineRule="auto"/>
      </w:pPr>
      <w:r>
        <w:rPr>
          <w:b/>
          <w:bCs/>
        </w:rPr>
        <w:t>推动行业发展</w:t>
      </w:r>
    </w:p>
    <w:p w14:paraId="192E50F8">
      <w:pPr>
        <w:pStyle w:val="28"/>
        <w:numPr>
          <w:ilvl w:val="1"/>
          <w:numId w:val="2"/>
        </w:numPr>
        <w:spacing w:line="360" w:lineRule="auto"/>
        <w:rPr>
          <w:lang w:eastAsia="zh-CN"/>
        </w:rPr>
      </w:pPr>
      <w:r>
        <w:rPr>
          <w:lang w:eastAsia="zh-CN"/>
        </w:rPr>
        <w:t>预期</w:t>
      </w:r>
      <w:r>
        <w:rPr>
          <w:rFonts w:hint="eastAsia"/>
          <w:lang w:eastAsia="zh-CN"/>
        </w:rPr>
        <w:t>本标准的实施将促进工业物联网产业的规范化发展，为泛在操作系统的研发、部署和应用提供统一的技术参考。标准的推广将增强行业内不同企业、机构之间的协同效应，提高工业物联网应用的兼容性和可扩展性，同时促进工业数据的共享与智能化升级。</w:t>
      </w:r>
    </w:p>
    <w:p w14:paraId="20E5095F">
      <w:pPr>
        <w:pStyle w:val="28"/>
        <w:numPr>
          <w:ilvl w:val="0"/>
          <w:numId w:val="7"/>
        </w:numPr>
        <w:spacing w:line="360" w:lineRule="auto"/>
      </w:pPr>
      <w:r>
        <w:rPr>
          <w:b/>
          <w:bCs/>
        </w:rPr>
        <w:t>降低社会成本</w:t>
      </w:r>
    </w:p>
    <w:p w14:paraId="0DA53BBC">
      <w:pPr>
        <w:pStyle w:val="28"/>
        <w:numPr>
          <w:ilvl w:val="1"/>
          <w:numId w:val="2"/>
        </w:numPr>
        <w:spacing w:line="360" w:lineRule="auto"/>
        <w:rPr>
          <w:lang w:eastAsia="zh-CN"/>
        </w:rPr>
      </w:pPr>
      <w:r>
        <w:rPr>
          <w:rFonts w:hint="eastAsia"/>
          <w:lang w:eastAsia="zh-CN"/>
        </w:rPr>
        <w:t>本标准的实施有助于提升工业设备的资源利用率和管理效率，减少重复建设和资源浪费，降低社会整体运营成本。通过标准化泛在操作系统的资源抽象、应用开发和运行支撑方式，企业能够更高效地复用已有的技术基础设施，减少定制化开发的投入。同时，标准的推广可提升工业设备的远程维护能力，降低因设备故障导致的生产损失，提高企业运营效率</w:t>
      </w:r>
      <w:r>
        <w:rPr>
          <w:lang w:eastAsia="zh-CN"/>
        </w:rPr>
        <w:t>。</w:t>
      </w:r>
    </w:p>
    <w:bookmarkEnd w:id="21"/>
    <w:bookmarkEnd w:id="25"/>
    <w:p w14:paraId="16F153F2">
      <w:pPr>
        <w:pStyle w:val="4"/>
        <w:spacing w:line="360" w:lineRule="auto"/>
        <w:rPr>
          <w:lang w:eastAsia="zh-CN"/>
        </w:rPr>
      </w:pPr>
      <w:bookmarkStart w:id="26" w:name="四采用国际标准和国外先进标准的程度以及与国际国内同类标准水平的对比情况"/>
      <w:r>
        <w:rPr>
          <w:lang w:eastAsia="zh-CN"/>
        </w:rPr>
        <w:t>四、采用国际标准和国外先进标准的程度，以及与国际、国内同类标准水平的对比情况</w:t>
      </w:r>
    </w:p>
    <w:p w14:paraId="432E2AAE">
      <w:pPr>
        <w:pStyle w:val="5"/>
        <w:spacing w:line="360" w:lineRule="auto"/>
        <w:rPr>
          <w:lang w:eastAsia="zh-CN"/>
        </w:rPr>
      </w:pPr>
      <w:bookmarkStart w:id="27" w:name="一采用国际标准和国外先进标准的程度"/>
      <w:r>
        <w:rPr>
          <w:lang w:eastAsia="zh-CN"/>
        </w:rPr>
        <w:t>（一）采用国际标准和国外先进标准的程度</w:t>
      </w:r>
    </w:p>
    <w:p w14:paraId="5D281ECA">
      <w:pPr>
        <w:pStyle w:val="27"/>
        <w:spacing w:line="360" w:lineRule="auto"/>
        <w:ind w:firstLine="480" w:firstLineChars="200"/>
        <w:rPr>
          <w:lang w:eastAsia="zh-CN"/>
        </w:rPr>
      </w:pPr>
      <w:bookmarkStart w:id="28" w:name="OLE_LINK13"/>
      <w:r>
        <w:rPr>
          <w:rFonts w:hint="eastAsia"/>
          <w:lang w:eastAsia="zh-CN"/>
        </w:rPr>
        <w:t>本标准的制定充分借鉴了国际工业物联网、边缘计算、工业自动化领域的先进标准，确保其技术规范与国际接轨。</w:t>
      </w:r>
      <w:bookmarkEnd w:id="28"/>
      <w:bookmarkStart w:id="38" w:name="_GoBack"/>
      <w:bookmarkEnd w:id="38"/>
    </w:p>
    <w:bookmarkEnd w:id="27"/>
    <w:p w14:paraId="67321375">
      <w:pPr>
        <w:pStyle w:val="5"/>
        <w:spacing w:line="360" w:lineRule="auto"/>
        <w:rPr>
          <w:lang w:eastAsia="zh-CN"/>
        </w:rPr>
      </w:pPr>
      <w:bookmarkStart w:id="29" w:name="二与国际国内同类标准水平的对比情况"/>
      <w:r>
        <w:rPr>
          <w:lang w:eastAsia="zh-CN"/>
        </w:rPr>
        <w:t>（二）与国际、国内同类标准水平的对比情况</w:t>
      </w:r>
    </w:p>
    <w:p w14:paraId="072154D0">
      <w:pPr>
        <w:pStyle w:val="28"/>
        <w:numPr>
          <w:ilvl w:val="0"/>
          <w:numId w:val="8"/>
        </w:numPr>
        <w:spacing w:line="360" w:lineRule="auto"/>
      </w:pPr>
      <w:r>
        <w:rPr>
          <w:b/>
          <w:bCs/>
        </w:rPr>
        <w:t>与国际同类标准对比</w:t>
      </w:r>
    </w:p>
    <w:p w14:paraId="24BF52DB">
      <w:pPr>
        <w:pStyle w:val="28"/>
        <w:numPr>
          <w:ilvl w:val="1"/>
          <w:numId w:val="2"/>
        </w:numPr>
        <w:spacing w:line="360" w:lineRule="auto"/>
        <w:rPr>
          <w:lang w:eastAsia="zh-CN"/>
        </w:rPr>
      </w:pPr>
      <w:r>
        <w:rPr>
          <w:rFonts w:hint="eastAsia"/>
          <w:lang w:eastAsia="zh-CN"/>
        </w:rPr>
        <w:t>目前，国际上关于工业物联网、边缘计算、实时控制系统的相关标准较多，但尚未形成针对工业物联网泛在操作系统的统一标准。本标准在结合国内工业物联网应用需求的基础上，对设备管理、数据处理、智能调度等方面进行了详细规范，使其更符合工业控制与智能制造的复杂应用场景。</w:t>
      </w:r>
      <w:r>
        <w:rPr>
          <w:lang w:eastAsia="zh-CN"/>
        </w:rPr>
        <w:t>同时，本标准在接口一致性、跨平台互联互通等方面的规定具有一定的创新性</w:t>
      </w:r>
      <w:r>
        <w:rPr>
          <w:rFonts w:hint="eastAsia"/>
          <w:lang w:eastAsia="zh-CN"/>
        </w:rPr>
        <w:t>，</w:t>
      </w:r>
      <w:r>
        <w:rPr>
          <w:lang w:eastAsia="zh-CN"/>
        </w:rPr>
        <w:t>与国际同类标准相比，具有鲜明的特色和优势。</w:t>
      </w:r>
    </w:p>
    <w:p w14:paraId="5ADA643D">
      <w:pPr>
        <w:pStyle w:val="28"/>
        <w:numPr>
          <w:ilvl w:val="0"/>
          <w:numId w:val="8"/>
        </w:numPr>
        <w:spacing w:line="360" w:lineRule="auto"/>
      </w:pPr>
      <w:r>
        <w:rPr>
          <w:b/>
          <w:bCs/>
        </w:rPr>
        <w:t>与国内同类标准对比</w:t>
      </w:r>
    </w:p>
    <w:p w14:paraId="07445959">
      <w:pPr>
        <w:pStyle w:val="28"/>
        <w:numPr>
          <w:ilvl w:val="1"/>
          <w:numId w:val="2"/>
        </w:numPr>
        <w:spacing w:line="360" w:lineRule="auto"/>
        <w:rPr>
          <w:lang w:eastAsia="zh-CN"/>
        </w:rPr>
      </w:pPr>
      <w:r>
        <w:rPr>
          <w:rFonts w:hint="eastAsia"/>
          <w:lang w:eastAsia="zh-CN"/>
        </w:rPr>
        <w:t>本标准在继承现有国内标准的基础上，进一步优化了工业设备管理、边缘计算适配、实时任务调度等内容，使其更适用于工业物联网环境下的泛在操作系统。面向工业物联网泛在计算环境的操作系统架构设计，支持多种工业设备和通信协议；提供端-边-云协同计算框架，优化数据流转效率，降低工业系统的计算负载；定义标准化的资源管理与任务调度机制，增强工业生产过程的智能化和自动化能力。本标准填补了该领域的标准空白，为国内工业企业提供统一的技术规范</w:t>
      </w:r>
      <w:r>
        <w:rPr>
          <w:lang w:eastAsia="zh-CN"/>
        </w:rPr>
        <w:t>。</w:t>
      </w:r>
    </w:p>
    <w:bookmarkEnd w:id="26"/>
    <w:bookmarkEnd w:id="29"/>
    <w:p w14:paraId="64244EFF">
      <w:pPr>
        <w:pStyle w:val="4"/>
        <w:spacing w:line="360" w:lineRule="auto"/>
        <w:rPr>
          <w:lang w:eastAsia="zh-CN"/>
        </w:rPr>
      </w:pPr>
      <w:bookmarkStart w:id="30" w:name="五与有关的现行法律法规和强制性标准的关系"/>
      <w:r>
        <w:rPr>
          <w:lang w:eastAsia="zh-CN"/>
        </w:rPr>
        <w:t>五、与有关的现行法律、法规和强制性标准的关系</w:t>
      </w:r>
    </w:p>
    <w:p w14:paraId="5FF77828">
      <w:pPr>
        <w:pStyle w:val="27"/>
        <w:spacing w:line="360" w:lineRule="auto"/>
        <w:ind w:firstLine="480" w:firstLineChars="200"/>
        <w:rPr>
          <w:lang w:eastAsia="zh-CN"/>
        </w:rPr>
      </w:pPr>
      <w:r>
        <w:rPr>
          <w:rFonts w:hint="eastAsia"/>
          <w:lang w:eastAsia="zh-CN"/>
        </w:rPr>
        <w:t>本标准在制定过程中，严格遵循我国现行的法律法规要求，确保标准内容符合工业物联网、数据管理及智能制造等相关政策规定，并与现行的强制性标准保持协调一致。在工业物联网泛在操作系统领域，本标准作为现有标准体系的补充和完善，针对设备管理、边缘计算、工业控制等关键技术提供具体的标准依据。通过与其他强制性和推荐性标准的协同，本标准共同构建完整的工业物联网操作系统与安全管理体系，为我国智能制造与工业互联网发展提供全面的技术支持</w:t>
      </w:r>
      <w:r>
        <w:rPr>
          <w:lang w:eastAsia="zh-CN"/>
        </w:rPr>
        <w:t>。</w:t>
      </w:r>
    </w:p>
    <w:bookmarkEnd w:id="30"/>
    <w:p w14:paraId="33C98979">
      <w:pPr>
        <w:pStyle w:val="4"/>
        <w:spacing w:line="360" w:lineRule="auto"/>
        <w:rPr>
          <w:lang w:eastAsia="zh-CN"/>
        </w:rPr>
      </w:pPr>
      <w:bookmarkStart w:id="31" w:name="六重大分歧意见的处理经过和依据"/>
      <w:r>
        <w:rPr>
          <w:lang w:eastAsia="zh-CN"/>
        </w:rPr>
        <w:t>六、重大分歧意见的处理经过和依据</w:t>
      </w:r>
    </w:p>
    <w:p w14:paraId="55ABB2DC">
      <w:pPr>
        <w:pStyle w:val="27"/>
        <w:spacing w:line="360" w:lineRule="auto"/>
        <w:ind w:firstLine="480" w:firstLineChars="200"/>
        <w:rPr>
          <w:lang w:eastAsia="zh-CN"/>
        </w:rPr>
      </w:pPr>
      <w:r>
        <w:rPr>
          <w:lang w:eastAsia="zh-CN"/>
        </w:rPr>
        <w:t>在本标准的起草过程中，未出现重大分歧意见。起草小组成员在标准的编制原则、主要内容、试验验证等方面基本达成一致。对于一些小的意见分歧，如部分接口参数的取值范围</w:t>
      </w:r>
      <w:r>
        <w:rPr>
          <w:rFonts w:hint="eastAsia"/>
          <w:lang w:eastAsia="zh-CN"/>
        </w:rPr>
        <w:t>、参数设置</w:t>
      </w:r>
      <w:r>
        <w:rPr>
          <w:lang w:eastAsia="zh-CN"/>
        </w:rPr>
        <w:t>等问题，通过查阅相关技术文献、进行内部技术讨论以及参考实际应用经验等方式，最终达成了共识。</w:t>
      </w:r>
    </w:p>
    <w:bookmarkEnd w:id="31"/>
    <w:p w14:paraId="36F97BD6">
      <w:pPr>
        <w:pStyle w:val="4"/>
        <w:spacing w:line="360" w:lineRule="auto"/>
        <w:rPr>
          <w:lang w:eastAsia="zh-CN"/>
        </w:rPr>
      </w:pPr>
      <w:bookmarkStart w:id="32" w:name="七标准作为团体标准的必要性"/>
      <w:r>
        <w:rPr>
          <w:lang w:eastAsia="zh-CN"/>
        </w:rPr>
        <w:t>七、标准作为团体标准的必要性</w:t>
      </w:r>
    </w:p>
    <w:p w14:paraId="1C109963">
      <w:pPr>
        <w:pStyle w:val="28"/>
        <w:numPr>
          <w:ilvl w:val="0"/>
          <w:numId w:val="9"/>
        </w:numPr>
        <w:spacing w:line="360" w:lineRule="auto"/>
      </w:pPr>
      <w:r>
        <w:rPr>
          <w:b/>
          <w:bCs/>
        </w:rPr>
        <w:t>满足特定行业需求</w:t>
      </w:r>
    </w:p>
    <w:p w14:paraId="43D919DF">
      <w:pPr>
        <w:pStyle w:val="28"/>
        <w:numPr>
          <w:ilvl w:val="1"/>
          <w:numId w:val="2"/>
        </w:numPr>
        <w:spacing w:line="360" w:lineRule="auto"/>
        <w:rPr>
          <w:lang w:eastAsia="zh-CN"/>
        </w:rPr>
      </w:pPr>
      <w:r>
        <w:rPr>
          <w:rFonts w:hint="eastAsia"/>
          <w:lang w:eastAsia="zh-CN"/>
        </w:rPr>
        <w:t>在工业物联网与智能制造领域，工业物联设备的资源管理、实时调度、泛在操作系统的应用开发的标准化是提升工业自动化智能化水平的关键。本团体标准专门针对这一特定领域的需求制定，能够满足工业制造企业、设备供应商、工业自动化系统集成商等行业主体在工业物联网泛在操作系统架构、设备管理、数据通信及边缘智能等方面的需求，为行业发展提供技术支持</w:t>
      </w:r>
      <w:r>
        <w:rPr>
          <w:lang w:eastAsia="zh-CN"/>
        </w:rPr>
        <w:t>。</w:t>
      </w:r>
    </w:p>
    <w:p w14:paraId="7AC24E9C">
      <w:pPr>
        <w:pStyle w:val="28"/>
        <w:numPr>
          <w:ilvl w:val="0"/>
          <w:numId w:val="9"/>
        </w:numPr>
        <w:spacing w:line="360" w:lineRule="auto"/>
      </w:pPr>
      <w:r>
        <w:rPr>
          <w:b/>
          <w:bCs/>
        </w:rPr>
        <w:t>促进技术创新与交流</w:t>
      </w:r>
    </w:p>
    <w:p w14:paraId="0B4EA545">
      <w:pPr>
        <w:pStyle w:val="28"/>
        <w:numPr>
          <w:ilvl w:val="1"/>
          <w:numId w:val="2"/>
        </w:numPr>
        <w:spacing w:line="360" w:lineRule="auto"/>
        <w:rPr>
          <w:lang w:eastAsia="zh-CN"/>
        </w:rPr>
      </w:pPr>
      <w:r>
        <w:rPr>
          <w:rFonts w:hint="eastAsia"/>
          <w:lang w:eastAsia="zh-CN"/>
        </w:rPr>
        <w:t>作为团体标准，本标准将为工业物联网和智能制造领域的企业和研究机构提供一个统一的技术交流平台。通过制定和推广本标准，能够促进企业之间在工业物联网操作系统架构、边缘计算、设备资源管理等方面的创新与交流，鼓励企业在遵循标准的基础上开展技术研发和应用实践，推动行业整体技术水平的提升</w:t>
      </w:r>
      <w:r>
        <w:rPr>
          <w:lang w:eastAsia="zh-CN"/>
        </w:rPr>
        <w:t>。</w:t>
      </w:r>
    </w:p>
    <w:p w14:paraId="6326FF70">
      <w:pPr>
        <w:pStyle w:val="28"/>
        <w:numPr>
          <w:ilvl w:val="0"/>
          <w:numId w:val="9"/>
        </w:numPr>
        <w:spacing w:line="360" w:lineRule="auto"/>
      </w:pPr>
      <w:r>
        <w:rPr>
          <w:b/>
          <w:bCs/>
        </w:rPr>
        <w:t>填补标准空白</w:t>
      </w:r>
    </w:p>
    <w:p w14:paraId="6A224E71">
      <w:pPr>
        <w:pStyle w:val="28"/>
        <w:numPr>
          <w:ilvl w:val="1"/>
          <w:numId w:val="2"/>
        </w:numPr>
        <w:spacing w:line="360" w:lineRule="auto"/>
        <w:rPr>
          <w:lang w:eastAsia="zh-CN"/>
        </w:rPr>
      </w:pPr>
      <w:r>
        <w:rPr>
          <w:rFonts w:hint="eastAsia"/>
          <w:lang w:eastAsia="zh-CN"/>
        </w:rPr>
        <w:t>在我国现行的标准体系中，针对工业物联网泛在操作系统的标准相对较缺乏，现有标准主要聚焦于物联网通信协议、设备互联等方面，而缺乏针对工业物联网操作系统的体系架构、现场计算、边缘智能等内容的标准化规范。本团体标准的制定将填补这一空白，完善我国智能制造与工业互联网的标准体系，为工业物联网技术的发展提供更全面、系统的标准依据</w:t>
      </w:r>
      <w:r>
        <w:rPr>
          <w:lang w:eastAsia="zh-CN"/>
        </w:rPr>
        <w:t>。</w:t>
      </w:r>
    </w:p>
    <w:bookmarkEnd w:id="32"/>
    <w:p w14:paraId="41282E53">
      <w:pPr>
        <w:pStyle w:val="4"/>
        <w:spacing w:line="360" w:lineRule="auto"/>
        <w:rPr>
          <w:lang w:eastAsia="zh-CN"/>
        </w:rPr>
      </w:pPr>
      <w:bookmarkStart w:id="33" w:name="八贯彻标准的要求和措施建议"/>
      <w:r>
        <w:rPr>
          <w:lang w:eastAsia="zh-CN"/>
        </w:rPr>
        <w:t>八、贯彻标准的要求和措施建议</w:t>
      </w:r>
    </w:p>
    <w:p w14:paraId="3D8607DC">
      <w:pPr>
        <w:pStyle w:val="5"/>
        <w:spacing w:line="360" w:lineRule="auto"/>
      </w:pPr>
      <w:bookmarkStart w:id="34" w:name="一贯彻标准的要求"/>
      <w:r>
        <w:t>（一）贯彻标准的要求</w:t>
      </w:r>
    </w:p>
    <w:p w14:paraId="59E8575D">
      <w:pPr>
        <w:pStyle w:val="28"/>
        <w:numPr>
          <w:ilvl w:val="0"/>
          <w:numId w:val="10"/>
        </w:numPr>
        <w:spacing w:line="360" w:lineRule="auto"/>
      </w:pPr>
      <w:r>
        <w:rPr>
          <w:b/>
          <w:bCs/>
        </w:rPr>
        <w:t>宣传推广</w:t>
      </w:r>
    </w:p>
    <w:p w14:paraId="416C7FD3">
      <w:pPr>
        <w:pStyle w:val="75"/>
        <w:numPr>
          <w:ilvl w:val="1"/>
          <w:numId w:val="2"/>
        </w:numPr>
        <w:spacing w:line="360" w:lineRule="auto"/>
        <w:ind w:firstLineChars="0"/>
        <w:rPr>
          <w:lang w:eastAsia="zh-CN"/>
        </w:rPr>
      </w:pPr>
      <w:r>
        <w:rPr>
          <w:rFonts w:hint="eastAsia"/>
          <w:lang w:eastAsia="zh-CN"/>
        </w:rPr>
        <w:t>积极开展本标准的宣传推广工作，通过举办标准宣贯会、技术研讨会等形式，向工业物联 相关企业、机构介绍本标准的内容、意义和作用，提高标准的认知度和影响力</w:t>
      </w:r>
      <w:r>
        <w:rPr>
          <w:lang w:eastAsia="zh-CN"/>
        </w:rPr>
        <w:t>。</w:t>
      </w:r>
    </w:p>
    <w:p w14:paraId="7A7090D9">
      <w:pPr>
        <w:pStyle w:val="28"/>
        <w:numPr>
          <w:ilvl w:val="0"/>
          <w:numId w:val="10"/>
        </w:numPr>
        <w:spacing w:line="360" w:lineRule="auto"/>
      </w:pPr>
      <w:r>
        <w:rPr>
          <w:b/>
          <w:bCs/>
        </w:rPr>
        <w:t>培训教育</w:t>
      </w:r>
    </w:p>
    <w:p w14:paraId="4B71D4CF">
      <w:pPr>
        <w:pStyle w:val="28"/>
        <w:numPr>
          <w:ilvl w:val="1"/>
          <w:numId w:val="2"/>
        </w:numPr>
        <w:spacing w:line="360" w:lineRule="auto"/>
        <w:rPr>
          <w:lang w:eastAsia="zh-CN"/>
        </w:rPr>
      </w:pPr>
      <w:r>
        <w:rPr>
          <w:lang w:eastAsia="zh-CN"/>
        </w:rPr>
        <w:t>组织开展针对本标准的培训教育活动，邀请标准起草专家对相关人员进行培训，使其深入理解标准的技术内容和实施要求，为标准的贯彻实施提供人员保障。</w:t>
      </w:r>
    </w:p>
    <w:p w14:paraId="68FDEC54">
      <w:pPr>
        <w:pStyle w:val="28"/>
        <w:numPr>
          <w:ilvl w:val="0"/>
          <w:numId w:val="10"/>
        </w:numPr>
        <w:spacing w:line="360" w:lineRule="auto"/>
      </w:pPr>
      <w:r>
        <w:rPr>
          <w:b/>
          <w:bCs/>
        </w:rPr>
        <w:t>示范应用</w:t>
      </w:r>
    </w:p>
    <w:p w14:paraId="70603844">
      <w:pPr>
        <w:pStyle w:val="28"/>
        <w:numPr>
          <w:ilvl w:val="1"/>
          <w:numId w:val="2"/>
        </w:numPr>
        <w:spacing w:line="360" w:lineRule="auto"/>
        <w:rPr>
          <w:lang w:eastAsia="zh-CN"/>
        </w:rPr>
      </w:pPr>
      <w:r>
        <w:rPr>
          <w:lang w:eastAsia="zh-CN"/>
        </w:rPr>
        <w:t>鼓励部分有条件的会员单位率先开展本标准的示范应用，通过实际应用案例展示标准的可行性和有效性，为其他企业和机构贯彻实施标准提供借鉴经验。</w:t>
      </w:r>
    </w:p>
    <w:bookmarkEnd w:id="34"/>
    <w:p w14:paraId="365B7C2B">
      <w:pPr>
        <w:pStyle w:val="5"/>
        <w:spacing w:line="360" w:lineRule="auto"/>
      </w:pPr>
      <w:bookmarkStart w:id="35" w:name="二措施建议"/>
      <w:r>
        <w:t>（二）措施建议</w:t>
      </w:r>
    </w:p>
    <w:p w14:paraId="6EB75403">
      <w:pPr>
        <w:pStyle w:val="28"/>
        <w:numPr>
          <w:ilvl w:val="0"/>
          <w:numId w:val="11"/>
        </w:numPr>
        <w:spacing w:line="360" w:lineRule="auto"/>
      </w:pPr>
      <w:r>
        <w:rPr>
          <w:b/>
          <w:bCs/>
        </w:rPr>
        <w:t>建立监督机制</w:t>
      </w:r>
    </w:p>
    <w:p w14:paraId="0A1EE17E">
      <w:pPr>
        <w:pStyle w:val="28"/>
        <w:numPr>
          <w:ilvl w:val="1"/>
          <w:numId w:val="2"/>
        </w:numPr>
        <w:spacing w:line="360" w:lineRule="auto"/>
        <w:rPr>
          <w:lang w:eastAsia="zh-CN"/>
        </w:rPr>
      </w:pPr>
      <w:r>
        <w:rPr>
          <w:lang w:eastAsia="zh-CN"/>
        </w:rPr>
        <w:t>建立标准贯彻实施的监督机制，定期对会员单位和相关企业的标准执行情况进行检查和评估，确保标准得到有效贯彻实施。</w:t>
      </w:r>
    </w:p>
    <w:p w14:paraId="5DBD4F8D">
      <w:pPr>
        <w:pStyle w:val="28"/>
        <w:numPr>
          <w:ilvl w:val="0"/>
          <w:numId w:val="11"/>
        </w:numPr>
        <w:spacing w:line="360" w:lineRule="auto"/>
      </w:pPr>
      <w:r>
        <w:rPr>
          <w:b/>
          <w:bCs/>
        </w:rPr>
        <w:t>反馈与改进</w:t>
      </w:r>
    </w:p>
    <w:p w14:paraId="42A1B794">
      <w:pPr>
        <w:pStyle w:val="28"/>
        <w:numPr>
          <w:ilvl w:val="1"/>
          <w:numId w:val="2"/>
        </w:numPr>
        <w:spacing w:line="360" w:lineRule="auto"/>
        <w:rPr>
          <w:lang w:eastAsia="zh-CN"/>
        </w:rPr>
      </w:pPr>
      <w:r>
        <w:rPr>
          <w:lang w:eastAsia="zh-CN"/>
        </w:rPr>
        <w:t>在标准贯彻实施过程中，建立反馈渠道，及时收集企业和机构在应用标准过程中遇到的问题和意见，以便对标准进行适时的修订和完善，提高标准的适应性和实用性。</w:t>
      </w:r>
    </w:p>
    <w:bookmarkEnd w:id="33"/>
    <w:bookmarkEnd w:id="35"/>
    <w:p w14:paraId="510C7D0F">
      <w:pPr>
        <w:pStyle w:val="4"/>
        <w:spacing w:line="360" w:lineRule="auto"/>
        <w:rPr>
          <w:lang w:eastAsia="zh-CN"/>
        </w:rPr>
      </w:pPr>
      <w:bookmarkStart w:id="36" w:name="九废止现行有关标准的建议"/>
      <w:r>
        <w:rPr>
          <w:lang w:eastAsia="zh-CN"/>
        </w:rPr>
        <w:t>九、废止现行有关标准的建议</w:t>
      </w:r>
    </w:p>
    <w:p w14:paraId="67268F8C">
      <w:pPr>
        <w:pStyle w:val="27"/>
        <w:spacing w:line="360" w:lineRule="auto"/>
        <w:ind w:firstLine="480" w:firstLineChars="200"/>
        <w:rPr>
          <w:lang w:eastAsia="zh-CN"/>
        </w:rPr>
      </w:pPr>
      <w:r>
        <w:rPr>
          <w:lang w:eastAsia="zh-CN"/>
        </w:rPr>
        <w:t>本标准为新制定的团体标准，不存在废止现行有关标准的情况。</w:t>
      </w:r>
    </w:p>
    <w:bookmarkEnd w:id="36"/>
    <w:p w14:paraId="4D5DEBAA">
      <w:pPr>
        <w:pStyle w:val="4"/>
        <w:spacing w:line="360" w:lineRule="auto"/>
        <w:rPr>
          <w:lang w:eastAsia="zh-CN"/>
        </w:rPr>
      </w:pPr>
      <w:bookmarkStart w:id="37" w:name="十其他应予说明的事项"/>
      <w:r>
        <w:rPr>
          <w:lang w:eastAsia="zh-CN"/>
        </w:rPr>
        <w:t>十、其他应予说明的事项</w:t>
      </w:r>
    </w:p>
    <w:bookmarkEnd w:id="1"/>
    <w:bookmarkEnd w:id="37"/>
    <w:p w14:paraId="2726B1A0">
      <w:pPr>
        <w:pStyle w:val="27"/>
        <w:spacing w:line="360" w:lineRule="auto"/>
        <w:ind w:firstLine="480" w:firstLineChars="200"/>
        <w:rPr>
          <w:lang w:eastAsia="zh-CN"/>
        </w:rPr>
      </w:pPr>
      <w:r>
        <w:rPr>
          <w:rFonts w:hint="eastAsia"/>
          <w:lang w:eastAsia="zh-CN"/>
        </w:rPr>
        <w:t>无。</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Droid Sans Fallbac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Cambria">
    <w:altName w:val="FreeSerif"/>
    <w:panose1 w:val="02040503050406030204"/>
    <w:charset w:val="00"/>
    <w:family w:val="roman"/>
    <w:pitch w:val="default"/>
    <w:sig w:usb0="00000000" w:usb1="00000000" w:usb2="00000000" w:usb3="00000000" w:csb0="0000019F" w:csb1="00000000"/>
  </w:font>
  <w:font w:name="FreeSerif">
    <w:panose1 w:val="02020603050405020304"/>
    <w:charset w:val="00"/>
    <w:family w:val="auto"/>
    <w:pitch w:val="default"/>
    <w:sig w:usb0="E59FAFFF" w:usb1="C200FDFF" w:usb2="43501B29" w:usb3="04000043" w:csb0="600101FF" w:csb1="FFFF0000"/>
  </w:font>
  <w:font w:name="Consolas">
    <w:altName w:val="Liberation Sans Narrow"/>
    <w:panose1 w:val="020B0609020204030204"/>
    <w:charset w:val="00"/>
    <w:family w:val="modern"/>
    <w:pitch w:val="default"/>
    <w:sig w:usb0="00000000" w:usb1="00000000" w:usb2="00000009" w:usb3="00000000" w:csb0="0000019F" w:csb1="00000000"/>
  </w:font>
  <w:font w:name="Liberation Sans Narrow">
    <w:panose1 w:val="020B0606020202030204"/>
    <w:charset w:val="00"/>
    <w:family w:val="auto"/>
    <w:pitch w:val="default"/>
    <w:sig w:usb0="A00002AF" w:usb1="500078FB" w:usb2="00000000" w:usb3="00000000" w:csb0="6000009F" w:csb1="DFD70000"/>
  </w:font>
  <w:font w:name="华文仿宋">
    <w:panose1 w:val="02010600040101010101"/>
    <w:charset w:val="86"/>
    <w:family w:val="auto"/>
    <w:pitch w:val="default"/>
    <w:sig w:usb0="00000287" w:usb1="080F0000" w:usb2="00000000" w:usb3="00000000" w:csb0="0004009F" w:csb1="DFD70000"/>
  </w:font>
  <w:font w:name="微软雅黑">
    <w:altName w:val="Droid Sans Fallbac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Arial">
    <w:altName w:val="DejaVu Sans"/>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A991"/>
    <w:multiLevelType w:val="multilevel"/>
    <w:tmpl w:val="0000A991"/>
    <w:lvl w:ilvl="0" w:tentative="0">
      <w:start w:val="0"/>
      <w:numFmt w:val="bullet"/>
      <w:lvlText w:val="•"/>
      <w:lvlJc w:val="left"/>
      <w:pPr>
        <w:ind w:left="720" w:hanging="480"/>
      </w:pPr>
    </w:lvl>
    <w:lvl w:ilvl="1" w:tentative="0">
      <w:start w:val="0"/>
      <w:numFmt w:val="bullet"/>
      <w:lvlText w:val="–"/>
      <w:lvlJc w:val="left"/>
      <w:pPr>
        <w:ind w:left="1440" w:hanging="480"/>
      </w:pPr>
    </w:lvl>
    <w:lvl w:ilvl="2" w:tentative="0">
      <w:start w:val="0"/>
      <w:numFmt w:val="bullet"/>
      <w:lvlText w:val="•"/>
      <w:lvlJc w:val="left"/>
      <w:pPr>
        <w:ind w:left="2160" w:hanging="480"/>
      </w:pPr>
    </w:lvl>
    <w:lvl w:ilvl="3" w:tentative="0">
      <w:start w:val="0"/>
      <w:numFmt w:val="bullet"/>
      <w:lvlText w:val="–"/>
      <w:lvlJc w:val="left"/>
      <w:pPr>
        <w:ind w:left="2880" w:hanging="480"/>
      </w:pPr>
    </w:lvl>
    <w:lvl w:ilvl="4" w:tentative="0">
      <w:start w:val="0"/>
      <w:numFmt w:val="bullet"/>
      <w:lvlText w:val="•"/>
      <w:lvlJc w:val="left"/>
      <w:pPr>
        <w:ind w:left="3600" w:hanging="480"/>
      </w:pPr>
    </w:lvl>
    <w:lvl w:ilvl="5" w:tentative="0">
      <w:start w:val="0"/>
      <w:numFmt w:val="bullet"/>
      <w:lvlText w:val="–"/>
      <w:lvlJc w:val="left"/>
      <w:pPr>
        <w:ind w:left="4320" w:hanging="480"/>
      </w:pPr>
    </w:lvl>
    <w:lvl w:ilvl="6" w:tentative="0">
      <w:start w:val="0"/>
      <w:numFmt w:val="bullet"/>
      <w:lvlText w:val="•"/>
      <w:lvlJc w:val="left"/>
      <w:pPr>
        <w:ind w:left="5040" w:hanging="480"/>
      </w:pPr>
    </w:lvl>
    <w:lvl w:ilvl="7" w:tentative="0">
      <w:start w:val="0"/>
      <w:numFmt w:val="bullet"/>
      <w:lvlText w:val="–"/>
      <w:lvlJc w:val="left"/>
      <w:pPr>
        <w:ind w:left="5760" w:hanging="480"/>
      </w:pPr>
    </w:lvl>
    <w:lvl w:ilvl="8" w:tentative="0">
      <w:start w:val="0"/>
      <w:numFmt w:val="bullet"/>
      <w:lvlText w:val="•"/>
      <w:lvlJc w:val="left"/>
      <w:pPr>
        <w:ind w:left="6480" w:hanging="480"/>
      </w:pPr>
    </w:lvl>
  </w:abstractNum>
  <w:abstractNum w:abstractNumId="1">
    <w:nsid w:val="00A99411"/>
    <w:multiLevelType w:val="multilevel"/>
    <w:tmpl w:val="00A99411"/>
    <w:lvl w:ilvl="0" w:tentative="0">
      <w:start w:val="1"/>
      <w:numFmt w:val="decimal"/>
      <w:lvlText w:val="%1."/>
      <w:lvlJc w:val="left"/>
      <w:pPr>
        <w:ind w:left="720" w:hanging="480"/>
      </w:pPr>
    </w:lvl>
    <w:lvl w:ilvl="1" w:tentative="0">
      <w:start w:val="1"/>
      <w:numFmt w:val="decimal"/>
      <w:lvlText w:val="%2."/>
      <w:lvlJc w:val="left"/>
      <w:pPr>
        <w:ind w:left="1440" w:hanging="480"/>
      </w:pPr>
    </w:lvl>
    <w:lvl w:ilvl="2" w:tentative="0">
      <w:start w:val="1"/>
      <w:numFmt w:val="decimal"/>
      <w:lvlText w:val="%3."/>
      <w:lvlJc w:val="left"/>
      <w:pPr>
        <w:ind w:left="2160" w:hanging="480"/>
      </w:pPr>
    </w:lvl>
    <w:lvl w:ilvl="3" w:tentative="0">
      <w:start w:val="1"/>
      <w:numFmt w:val="decimal"/>
      <w:lvlText w:val="%4."/>
      <w:lvlJc w:val="left"/>
      <w:pPr>
        <w:ind w:left="2880" w:hanging="480"/>
      </w:pPr>
    </w:lvl>
    <w:lvl w:ilvl="4" w:tentative="0">
      <w:start w:val="1"/>
      <w:numFmt w:val="decimal"/>
      <w:lvlText w:val="%5."/>
      <w:lvlJc w:val="left"/>
      <w:pPr>
        <w:ind w:left="3600" w:hanging="480"/>
      </w:pPr>
    </w:lvl>
    <w:lvl w:ilvl="5" w:tentative="0">
      <w:start w:val="1"/>
      <w:numFmt w:val="decimal"/>
      <w:lvlText w:val="%6."/>
      <w:lvlJc w:val="left"/>
      <w:pPr>
        <w:ind w:left="4320" w:hanging="480"/>
      </w:pPr>
    </w:lvl>
    <w:lvl w:ilvl="6" w:tentative="0">
      <w:start w:val="1"/>
      <w:numFmt w:val="decimal"/>
      <w:lvlText w:val="%7."/>
      <w:lvlJc w:val="left"/>
      <w:pPr>
        <w:ind w:left="5040" w:hanging="480"/>
      </w:pPr>
    </w:lvl>
    <w:lvl w:ilvl="7" w:tentative="0">
      <w:start w:val="1"/>
      <w:numFmt w:val="decimal"/>
      <w:lvlText w:val="%8."/>
      <w:lvlJc w:val="left"/>
      <w:pPr>
        <w:ind w:left="5760" w:hanging="480"/>
      </w:pPr>
    </w:lvl>
    <w:lvl w:ilvl="8" w:tentative="0">
      <w:start w:val="1"/>
      <w:numFmt w:val="decimal"/>
      <w:lvlText w:val="%9."/>
      <w:lvlJc w:val="left"/>
      <w:pPr>
        <w:ind w:left="6480" w:hanging="4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hideSpellingErrors/>
  <w:hideGrammaticalError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dlZjRjM2VjOWIwMGE0MDczNDMwMDdiN2NmMjI0YTcifQ=="/>
  </w:docVars>
  <w:rsids>
    <w:rsidRoot w:val="00F62090"/>
    <w:rsid w:val="000206D1"/>
    <w:rsid w:val="00064941"/>
    <w:rsid w:val="0007469A"/>
    <w:rsid w:val="00187D82"/>
    <w:rsid w:val="001902EA"/>
    <w:rsid w:val="001919FD"/>
    <w:rsid w:val="001A3A0E"/>
    <w:rsid w:val="001E3536"/>
    <w:rsid w:val="0020341A"/>
    <w:rsid w:val="00206427"/>
    <w:rsid w:val="00206E9F"/>
    <w:rsid w:val="0023572B"/>
    <w:rsid w:val="0024222A"/>
    <w:rsid w:val="00270253"/>
    <w:rsid w:val="002C4F77"/>
    <w:rsid w:val="00306E16"/>
    <w:rsid w:val="00317274"/>
    <w:rsid w:val="00354CFF"/>
    <w:rsid w:val="003D54FE"/>
    <w:rsid w:val="003E73A2"/>
    <w:rsid w:val="003E7941"/>
    <w:rsid w:val="00404A76"/>
    <w:rsid w:val="00407941"/>
    <w:rsid w:val="004143AA"/>
    <w:rsid w:val="004D14B1"/>
    <w:rsid w:val="004E61A6"/>
    <w:rsid w:val="0055681A"/>
    <w:rsid w:val="00582DEA"/>
    <w:rsid w:val="005D06A9"/>
    <w:rsid w:val="006E4BF4"/>
    <w:rsid w:val="00705B73"/>
    <w:rsid w:val="007262D2"/>
    <w:rsid w:val="00752E75"/>
    <w:rsid w:val="007567B9"/>
    <w:rsid w:val="007618BF"/>
    <w:rsid w:val="00762A40"/>
    <w:rsid w:val="00793E52"/>
    <w:rsid w:val="007A2CA7"/>
    <w:rsid w:val="007A379D"/>
    <w:rsid w:val="007D2293"/>
    <w:rsid w:val="0083511F"/>
    <w:rsid w:val="008564AF"/>
    <w:rsid w:val="00866978"/>
    <w:rsid w:val="00896090"/>
    <w:rsid w:val="008D0E0D"/>
    <w:rsid w:val="008D1B92"/>
    <w:rsid w:val="009410DD"/>
    <w:rsid w:val="009827C4"/>
    <w:rsid w:val="00996C75"/>
    <w:rsid w:val="00A46998"/>
    <w:rsid w:val="00B54AF2"/>
    <w:rsid w:val="00B72B78"/>
    <w:rsid w:val="00B90A52"/>
    <w:rsid w:val="00B940B5"/>
    <w:rsid w:val="00C76F5F"/>
    <w:rsid w:val="00D21D8B"/>
    <w:rsid w:val="00DA5625"/>
    <w:rsid w:val="00DB2C62"/>
    <w:rsid w:val="00DE1CE7"/>
    <w:rsid w:val="00E568FC"/>
    <w:rsid w:val="00E80B0F"/>
    <w:rsid w:val="00E95238"/>
    <w:rsid w:val="00EC2978"/>
    <w:rsid w:val="00ED07C7"/>
    <w:rsid w:val="00F006FB"/>
    <w:rsid w:val="00F62090"/>
    <w:rsid w:val="00FF7964"/>
    <w:rsid w:val="07890ECB"/>
    <w:rsid w:val="0B446C39"/>
    <w:rsid w:val="0EBA1E97"/>
    <w:rsid w:val="104B549C"/>
    <w:rsid w:val="15E223FF"/>
    <w:rsid w:val="175A4217"/>
    <w:rsid w:val="1FFAA661"/>
    <w:rsid w:val="2AE1282D"/>
    <w:rsid w:val="2AFA38EF"/>
    <w:rsid w:val="4D763707"/>
    <w:rsid w:val="57E135BD"/>
    <w:rsid w:val="5E283755"/>
    <w:rsid w:val="75E4454C"/>
  </w:rsids>
  <m:mathPr>
    <m:mathFont m:val="Cambria Math"/>
    <m:brkBin m:val="before"/>
    <m:brkBinSub m:val="--"/>
    <m:smallFrac m:val="0"/>
    <m:dispDef/>
    <m:lMargin m:val="0"/>
    <m:rMargin m:val="0"/>
    <m:defJc m:val="centerGroup"/>
    <m:wrapRight m:val="1"/>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 w:semiHidden="0" w:name="footnote text"/>
    <w:lsdException w:qFormat="1" w:uiPriority="0" w:name="annotation text"/>
    <w:lsdException w:qFormat="1"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nhideWhenUsed="0" w:uiPriority="0" w:semiHidden="0" w:name="List 5"/>
    <w:lsdException w:uiPriority="0" w:name="List Bullet 2"/>
    <w:lsdException w:uiPriority="0" w:name="List Bullet 3"/>
    <w:lsdException w:unhideWhenUsed="0" w:uiPriority="0" w:semiHidden="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name="Body Text Indent 2"/>
    <w:lsdException w:uiPriority="0" w:name="Body Text Indent 3"/>
    <w:lsdException w:qFormat="1" w:uiPriority="9" w:semiHidden="0" w:name="Block Text"/>
    <w:lsdException w:qFormat="1" w:unhideWhenUsed="0" w:uiPriority="0"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EastAsia" w:cstheme="minorBidi"/>
      <w:sz w:val="24"/>
      <w:szCs w:val="24"/>
      <w:lang w:val="en-US"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sz w:val="28"/>
      <w:szCs w:val="28"/>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Cs/>
      <w:i/>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Cs/>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12">
    <w:name w:val="caption"/>
    <w:basedOn w:val="1"/>
    <w:next w:val="1"/>
    <w:link w:val="24"/>
    <w:qFormat/>
    <w:uiPriority w:val="0"/>
    <w:pPr>
      <w:spacing w:after="120"/>
    </w:pPr>
    <w:rPr>
      <w:i/>
    </w:rPr>
  </w:style>
  <w:style w:type="paragraph" w:styleId="13">
    <w:name w:val="annotation text"/>
    <w:basedOn w:val="1"/>
    <w:semiHidden/>
    <w:unhideWhenUsed/>
    <w:qFormat/>
    <w:uiPriority w:val="0"/>
  </w:style>
  <w:style w:type="paragraph" w:styleId="14">
    <w:name w:val="Block Text"/>
    <w:basedOn w:val="3"/>
    <w:next w:val="3"/>
    <w:unhideWhenUsed/>
    <w:qFormat/>
    <w:uiPriority w:val="9"/>
    <w:pPr>
      <w:spacing w:before="100" w:after="100"/>
      <w:ind w:left="480" w:right="480"/>
    </w:pPr>
  </w:style>
  <w:style w:type="paragraph" w:styleId="15">
    <w:name w:val="Date"/>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styleId="16">
    <w:name w:val="footer"/>
    <w:basedOn w:val="1"/>
    <w:link w:val="77"/>
    <w:unhideWhenUsed/>
    <w:qFormat/>
    <w:uiPriority w:val="0"/>
    <w:pPr>
      <w:tabs>
        <w:tab w:val="center" w:pos="4153"/>
        <w:tab w:val="right" w:pos="8306"/>
      </w:tabs>
      <w:snapToGrid w:val="0"/>
    </w:pPr>
    <w:rPr>
      <w:sz w:val="18"/>
      <w:szCs w:val="18"/>
    </w:rPr>
  </w:style>
  <w:style w:type="paragraph" w:styleId="17">
    <w:name w:val="header"/>
    <w:basedOn w:val="1"/>
    <w:link w:val="76"/>
    <w:unhideWhenUsed/>
    <w:qFormat/>
    <w:uiPriority w:val="0"/>
    <w:pPr>
      <w:pBdr>
        <w:bottom w:val="single" w:color="auto" w:sz="6" w:space="1"/>
      </w:pBdr>
      <w:tabs>
        <w:tab w:val="center" w:pos="4153"/>
        <w:tab w:val="right" w:pos="8306"/>
      </w:tabs>
      <w:snapToGrid w:val="0"/>
      <w:jc w:val="center"/>
    </w:pPr>
    <w:rPr>
      <w:sz w:val="18"/>
      <w:szCs w:val="18"/>
    </w:rPr>
  </w:style>
  <w:style w:type="paragraph" w:styleId="18">
    <w:name w:val="Subtitle"/>
    <w:basedOn w:val="19"/>
    <w:next w:val="3"/>
    <w:qFormat/>
    <w:uiPriority w:val="0"/>
    <w:pPr>
      <w:spacing w:before="240"/>
    </w:pPr>
    <w:rPr>
      <w:sz w:val="30"/>
      <w:szCs w:val="30"/>
    </w:rPr>
  </w:style>
  <w:style w:type="paragraph" w:styleId="19">
    <w:name w:val="Title"/>
    <w:basedOn w:val="1"/>
    <w:next w:val="3"/>
    <w:qFormat/>
    <w:uiPriority w:val="0"/>
    <w:pPr>
      <w:keepNext/>
      <w:keepLines/>
      <w:spacing w:before="480" w:after="240"/>
      <w:jc w:val="center"/>
    </w:pPr>
    <w:rPr>
      <w:rFonts w:asciiTheme="majorHAnsi" w:hAnsiTheme="majorHAnsi" w:eastAsiaTheme="majorEastAsia" w:cstheme="majorBidi"/>
      <w:b/>
      <w:bCs/>
      <w:color w:val="345B8A" w:themeColor="accent1" w:themeShade="B5"/>
      <w:sz w:val="36"/>
      <w:szCs w:val="36"/>
    </w:rPr>
  </w:style>
  <w:style w:type="paragraph" w:styleId="20">
    <w:name w:val="footnote text"/>
    <w:basedOn w:val="1"/>
    <w:unhideWhenUsed/>
    <w:qFormat/>
    <w:uiPriority w:val="9"/>
  </w:style>
  <w:style w:type="character" w:styleId="23">
    <w:name w:val="Hyperlink"/>
    <w:basedOn w:val="24"/>
    <w:qFormat/>
    <w:uiPriority w:val="0"/>
    <w:rPr>
      <w:color w:val="4F81BD" w:themeColor="accent1"/>
      <w14:textFill>
        <w14:solidFill>
          <w14:schemeClr w14:val="accent1"/>
        </w14:solidFill>
      </w14:textFill>
    </w:rPr>
  </w:style>
  <w:style w:type="character" w:customStyle="1" w:styleId="24">
    <w:name w:val="题注 字符"/>
    <w:basedOn w:val="22"/>
    <w:link w:val="12"/>
    <w:qFormat/>
    <w:uiPriority w:val="0"/>
  </w:style>
  <w:style w:type="character" w:styleId="25">
    <w:name w:val="annotation reference"/>
    <w:basedOn w:val="22"/>
    <w:semiHidden/>
    <w:unhideWhenUsed/>
    <w:qFormat/>
    <w:uiPriority w:val="0"/>
    <w:rPr>
      <w:sz w:val="21"/>
      <w:szCs w:val="21"/>
    </w:rPr>
  </w:style>
  <w:style w:type="character" w:styleId="26">
    <w:name w:val="footnote reference"/>
    <w:basedOn w:val="24"/>
    <w:qFormat/>
    <w:uiPriority w:val="0"/>
    <w:rPr>
      <w:vertAlign w:val="superscript"/>
    </w:rPr>
  </w:style>
  <w:style w:type="paragraph" w:customStyle="1" w:styleId="27">
    <w:name w:val="First Paragraph"/>
    <w:basedOn w:val="3"/>
    <w:next w:val="3"/>
    <w:qFormat/>
    <w:uiPriority w:val="0"/>
  </w:style>
  <w:style w:type="paragraph" w:customStyle="1" w:styleId="28">
    <w:name w:val="Compact"/>
    <w:basedOn w:val="3"/>
    <w:qFormat/>
    <w:uiPriority w:val="0"/>
    <w:pPr>
      <w:spacing w:before="36" w:after="36"/>
    </w:pPr>
  </w:style>
  <w:style w:type="paragraph" w:customStyle="1" w:styleId="29">
    <w:name w:val="Author"/>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customStyle="1" w:styleId="30">
    <w:name w:val="Abstract"/>
    <w:basedOn w:val="1"/>
    <w:next w:val="3"/>
    <w:qFormat/>
    <w:uiPriority w:val="0"/>
    <w:pPr>
      <w:keepNext/>
      <w:keepLines/>
      <w:spacing w:before="300" w:after="300"/>
    </w:pPr>
    <w:rPr>
      <w:sz w:val="20"/>
      <w:szCs w:val="20"/>
    </w:rPr>
  </w:style>
  <w:style w:type="paragraph" w:customStyle="1" w:styleId="31">
    <w:name w:val="书目1"/>
    <w:basedOn w:val="1"/>
    <w:qFormat/>
    <w:uiPriority w:val="0"/>
  </w:style>
  <w:style w:type="table" w:customStyle="1" w:styleId="32">
    <w:name w:val="Table"/>
    <w:semiHidden/>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tcPr>
        <w:tcBorders>
          <w:bottom w:val="single" w:color="auto" w:sz="0" w:space="0"/>
        </w:tcBorders>
        <w:vAlign w:val="bottom"/>
      </w:tcPr>
    </w:tblStylePr>
  </w:style>
  <w:style w:type="paragraph" w:customStyle="1" w:styleId="33">
    <w:name w:val="Definition Term"/>
    <w:basedOn w:val="1"/>
    <w:next w:val="34"/>
    <w:qFormat/>
    <w:uiPriority w:val="0"/>
    <w:pPr>
      <w:keepNext/>
      <w:keepLines/>
      <w:spacing w:after="0"/>
    </w:pPr>
    <w:rPr>
      <w:b/>
    </w:rPr>
  </w:style>
  <w:style w:type="paragraph" w:customStyle="1" w:styleId="34">
    <w:name w:val="Definition"/>
    <w:basedOn w:val="1"/>
    <w:qFormat/>
    <w:uiPriority w:val="0"/>
  </w:style>
  <w:style w:type="paragraph" w:customStyle="1" w:styleId="35">
    <w:name w:val="Table Caption"/>
    <w:basedOn w:val="12"/>
    <w:qFormat/>
    <w:uiPriority w:val="0"/>
    <w:pPr>
      <w:keepNext/>
    </w:pPr>
  </w:style>
  <w:style w:type="paragraph" w:customStyle="1" w:styleId="36">
    <w:name w:val="Image Caption"/>
    <w:basedOn w:val="12"/>
    <w:qFormat/>
    <w:uiPriority w:val="0"/>
  </w:style>
  <w:style w:type="paragraph" w:customStyle="1" w:styleId="37">
    <w:name w:val="Figure"/>
    <w:basedOn w:val="1"/>
    <w:qFormat/>
    <w:uiPriority w:val="0"/>
  </w:style>
  <w:style w:type="paragraph" w:customStyle="1" w:styleId="38">
    <w:name w:val="Captioned Figure"/>
    <w:basedOn w:val="37"/>
    <w:qFormat/>
    <w:uiPriority w:val="0"/>
    <w:pPr>
      <w:keepNext/>
    </w:pPr>
  </w:style>
  <w:style w:type="character" w:customStyle="1" w:styleId="39">
    <w:name w:val="Verbatim Char"/>
    <w:basedOn w:val="24"/>
    <w:link w:val="40"/>
    <w:qFormat/>
    <w:uiPriority w:val="0"/>
    <w:rPr>
      <w:rFonts w:ascii="Consolas" w:hAnsi="Consolas"/>
      <w:sz w:val="22"/>
    </w:rPr>
  </w:style>
  <w:style w:type="paragraph" w:customStyle="1" w:styleId="40">
    <w:name w:val="Source Code"/>
    <w:basedOn w:val="1"/>
    <w:link w:val="39"/>
    <w:qFormat/>
    <w:uiPriority w:val="0"/>
    <w:pPr>
      <w:wordWrap w:val="0"/>
    </w:pPr>
  </w:style>
  <w:style w:type="character" w:customStyle="1" w:styleId="41">
    <w:name w:val="Section Number"/>
    <w:basedOn w:val="24"/>
    <w:qFormat/>
    <w:uiPriority w:val="0"/>
  </w:style>
  <w:style w:type="paragraph" w:customStyle="1" w:styleId="42">
    <w:name w:val="TOC 标题1"/>
    <w:basedOn w:val="2"/>
    <w:next w:val="3"/>
    <w:unhideWhenUsed/>
    <w:qFormat/>
    <w:uiPriority w:val="39"/>
    <w:pPr>
      <w:spacing w:before="240" w:line="259" w:lineRule="auto"/>
      <w:outlineLvl w:val="9"/>
    </w:pPr>
    <w:rPr>
      <w:b w:val="0"/>
      <w:bCs w:val="0"/>
      <w:color w:val="376092" w:themeColor="accent1" w:themeShade="BF"/>
    </w:rPr>
  </w:style>
  <w:style w:type="character" w:customStyle="1" w:styleId="43">
    <w:name w:val="KeywordTok"/>
    <w:basedOn w:val="39"/>
    <w:qFormat/>
    <w:uiPriority w:val="0"/>
    <w:rPr>
      <w:rFonts w:ascii="Consolas" w:hAnsi="Consolas"/>
      <w:b/>
      <w:color w:val="007020"/>
      <w:sz w:val="22"/>
    </w:rPr>
  </w:style>
  <w:style w:type="character" w:customStyle="1" w:styleId="44">
    <w:name w:val="DataTypeTok"/>
    <w:basedOn w:val="39"/>
    <w:qFormat/>
    <w:uiPriority w:val="0"/>
    <w:rPr>
      <w:rFonts w:ascii="Consolas" w:hAnsi="Consolas"/>
      <w:color w:val="902000"/>
      <w:sz w:val="22"/>
    </w:rPr>
  </w:style>
  <w:style w:type="character" w:customStyle="1" w:styleId="45">
    <w:name w:val="DecValTok"/>
    <w:basedOn w:val="39"/>
    <w:qFormat/>
    <w:uiPriority w:val="0"/>
    <w:rPr>
      <w:rFonts w:ascii="Consolas" w:hAnsi="Consolas"/>
      <w:color w:val="40A070"/>
      <w:sz w:val="22"/>
    </w:rPr>
  </w:style>
  <w:style w:type="character" w:customStyle="1" w:styleId="46">
    <w:name w:val="BaseNTok"/>
    <w:basedOn w:val="39"/>
    <w:qFormat/>
    <w:uiPriority w:val="0"/>
    <w:rPr>
      <w:rFonts w:ascii="Consolas" w:hAnsi="Consolas"/>
      <w:color w:val="40A070"/>
      <w:sz w:val="22"/>
    </w:rPr>
  </w:style>
  <w:style w:type="character" w:customStyle="1" w:styleId="47">
    <w:name w:val="FloatTok"/>
    <w:basedOn w:val="39"/>
    <w:qFormat/>
    <w:uiPriority w:val="0"/>
    <w:rPr>
      <w:rFonts w:ascii="Consolas" w:hAnsi="Consolas"/>
      <w:color w:val="40A070"/>
      <w:sz w:val="22"/>
    </w:rPr>
  </w:style>
  <w:style w:type="character" w:customStyle="1" w:styleId="48">
    <w:name w:val="ConstantTok"/>
    <w:basedOn w:val="39"/>
    <w:qFormat/>
    <w:uiPriority w:val="0"/>
    <w:rPr>
      <w:rFonts w:ascii="Consolas" w:hAnsi="Consolas"/>
      <w:color w:val="880000"/>
      <w:sz w:val="22"/>
    </w:rPr>
  </w:style>
  <w:style w:type="character" w:customStyle="1" w:styleId="49">
    <w:name w:val="CharTok"/>
    <w:basedOn w:val="39"/>
    <w:qFormat/>
    <w:uiPriority w:val="0"/>
    <w:rPr>
      <w:rFonts w:ascii="Consolas" w:hAnsi="Consolas"/>
      <w:color w:val="4070A0"/>
      <w:sz w:val="22"/>
    </w:rPr>
  </w:style>
  <w:style w:type="character" w:customStyle="1" w:styleId="50">
    <w:name w:val="SpecialCharTok"/>
    <w:basedOn w:val="39"/>
    <w:qFormat/>
    <w:uiPriority w:val="0"/>
    <w:rPr>
      <w:rFonts w:ascii="Consolas" w:hAnsi="Consolas"/>
      <w:color w:val="4070A0"/>
      <w:sz w:val="22"/>
    </w:rPr>
  </w:style>
  <w:style w:type="character" w:customStyle="1" w:styleId="51">
    <w:name w:val="StringTok"/>
    <w:basedOn w:val="39"/>
    <w:qFormat/>
    <w:uiPriority w:val="0"/>
    <w:rPr>
      <w:rFonts w:ascii="Consolas" w:hAnsi="Consolas"/>
      <w:color w:val="4070A0"/>
      <w:sz w:val="22"/>
    </w:rPr>
  </w:style>
  <w:style w:type="character" w:customStyle="1" w:styleId="52">
    <w:name w:val="VerbatimStringTok"/>
    <w:basedOn w:val="39"/>
    <w:qFormat/>
    <w:uiPriority w:val="0"/>
    <w:rPr>
      <w:rFonts w:ascii="Consolas" w:hAnsi="Consolas"/>
      <w:color w:val="4070A0"/>
      <w:sz w:val="22"/>
    </w:rPr>
  </w:style>
  <w:style w:type="character" w:customStyle="1" w:styleId="53">
    <w:name w:val="SpecialStringTok"/>
    <w:basedOn w:val="39"/>
    <w:qFormat/>
    <w:uiPriority w:val="0"/>
    <w:rPr>
      <w:rFonts w:ascii="Consolas" w:hAnsi="Consolas"/>
      <w:color w:val="BB6688"/>
      <w:sz w:val="22"/>
    </w:rPr>
  </w:style>
  <w:style w:type="character" w:customStyle="1" w:styleId="54">
    <w:name w:val="ImportTok"/>
    <w:basedOn w:val="39"/>
    <w:qFormat/>
    <w:uiPriority w:val="0"/>
    <w:rPr>
      <w:rFonts w:ascii="Consolas" w:hAnsi="Consolas"/>
      <w:b/>
      <w:color w:val="008000"/>
      <w:sz w:val="22"/>
    </w:rPr>
  </w:style>
  <w:style w:type="character" w:customStyle="1" w:styleId="55">
    <w:name w:val="CommentTok"/>
    <w:basedOn w:val="39"/>
    <w:qFormat/>
    <w:uiPriority w:val="0"/>
    <w:rPr>
      <w:rFonts w:ascii="Consolas" w:hAnsi="Consolas"/>
      <w:i/>
      <w:color w:val="60A0B0"/>
      <w:sz w:val="22"/>
    </w:rPr>
  </w:style>
  <w:style w:type="character" w:customStyle="1" w:styleId="56">
    <w:name w:val="DocumentationTok"/>
    <w:basedOn w:val="39"/>
    <w:qFormat/>
    <w:uiPriority w:val="0"/>
    <w:rPr>
      <w:rFonts w:ascii="Consolas" w:hAnsi="Consolas"/>
      <w:i/>
      <w:color w:val="BA2121"/>
      <w:sz w:val="22"/>
    </w:rPr>
  </w:style>
  <w:style w:type="character" w:customStyle="1" w:styleId="57">
    <w:name w:val="AnnotationTok"/>
    <w:basedOn w:val="39"/>
    <w:qFormat/>
    <w:uiPriority w:val="0"/>
    <w:rPr>
      <w:rFonts w:ascii="Consolas" w:hAnsi="Consolas"/>
      <w:b/>
      <w:i/>
      <w:color w:val="60A0B0"/>
      <w:sz w:val="22"/>
    </w:rPr>
  </w:style>
  <w:style w:type="character" w:customStyle="1" w:styleId="58">
    <w:name w:val="CommentVarTok"/>
    <w:basedOn w:val="39"/>
    <w:qFormat/>
    <w:uiPriority w:val="0"/>
    <w:rPr>
      <w:rFonts w:ascii="Consolas" w:hAnsi="Consolas"/>
      <w:b/>
      <w:i/>
      <w:color w:val="60A0B0"/>
      <w:sz w:val="22"/>
    </w:rPr>
  </w:style>
  <w:style w:type="character" w:customStyle="1" w:styleId="59">
    <w:name w:val="OtherTok"/>
    <w:basedOn w:val="39"/>
    <w:qFormat/>
    <w:uiPriority w:val="0"/>
    <w:rPr>
      <w:rFonts w:ascii="Consolas" w:hAnsi="Consolas"/>
      <w:color w:val="007020"/>
      <w:sz w:val="22"/>
    </w:rPr>
  </w:style>
  <w:style w:type="character" w:customStyle="1" w:styleId="60">
    <w:name w:val="FunctionTok"/>
    <w:basedOn w:val="39"/>
    <w:qFormat/>
    <w:uiPriority w:val="0"/>
    <w:rPr>
      <w:rFonts w:ascii="Consolas" w:hAnsi="Consolas"/>
      <w:color w:val="06287E"/>
      <w:sz w:val="22"/>
    </w:rPr>
  </w:style>
  <w:style w:type="character" w:customStyle="1" w:styleId="61">
    <w:name w:val="VariableTok"/>
    <w:basedOn w:val="39"/>
    <w:qFormat/>
    <w:uiPriority w:val="0"/>
    <w:rPr>
      <w:rFonts w:ascii="Consolas" w:hAnsi="Consolas"/>
      <w:color w:val="19177C"/>
      <w:sz w:val="22"/>
    </w:rPr>
  </w:style>
  <w:style w:type="character" w:customStyle="1" w:styleId="62">
    <w:name w:val="ControlFlowTok"/>
    <w:basedOn w:val="39"/>
    <w:qFormat/>
    <w:uiPriority w:val="0"/>
    <w:rPr>
      <w:rFonts w:ascii="Consolas" w:hAnsi="Consolas"/>
      <w:b/>
      <w:color w:val="007020"/>
      <w:sz w:val="22"/>
    </w:rPr>
  </w:style>
  <w:style w:type="character" w:customStyle="1" w:styleId="63">
    <w:name w:val="OperatorTok"/>
    <w:basedOn w:val="39"/>
    <w:qFormat/>
    <w:uiPriority w:val="0"/>
    <w:rPr>
      <w:rFonts w:ascii="Consolas" w:hAnsi="Consolas"/>
      <w:color w:val="666666"/>
      <w:sz w:val="22"/>
    </w:rPr>
  </w:style>
  <w:style w:type="character" w:customStyle="1" w:styleId="64">
    <w:name w:val="BuiltInTok"/>
    <w:basedOn w:val="39"/>
    <w:qFormat/>
    <w:uiPriority w:val="0"/>
    <w:rPr>
      <w:rFonts w:ascii="Consolas" w:hAnsi="Consolas"/>
      <w:color w:val="008000"/>
      <w:sz w:val="22"/>
    </w:rPr>
  </w:style>
  <w:style w:type="character" w:customStyle="1" w:styleId="65">
    <w:name w:val="ExtensionTok"/>
    <w:basedOn w:val="39"/>
    <w:qFormat/>
    <w:uiPriority w:val="0"/>
    <w:rPr>
      <w:rFonts w:ascii="Consolas" w:hAnsi="Consolas"/>
      <w:sz w:val="22"/>
    </w:rPr>
  </w:style>
  <w:style w:type="character" w:customStyle="1" w:styleId="66">
    <w:name w:val="PreprocessorTok"/>
    <w:basedOn w:val="39"/>
    <w:qFormat/>
    <w:uiPriority w:val="0"/>
    <w:rPr>
      <w:rFonts w:ascii="Consolas" w:hAnsi="Consolas"/>
      <w:color w:val="BC7A00"/>
      <w:sz w:val="22"/>
    </w:rPr>
  </w:style>
  <w:style w:type="character" w:customStyle="1" w:styleId="67">
    <w:name w:val="AttributeTok"/>
    <w:basedOn w:val="39"/>
    <w:qFormat/>
    <w:uiPriority w:val="0"/>
    <w:rPr>
      <w:rFonts w:ascii="Consolas" w:hAnsi="Consolas"/>
      <w:color w:val="7D9029"/>
      <w:sz w:val="22"/>
    </w:rPr>
  </w:style>
  <w:style w:type="character" w:customStyle="1" w:styleId="68">
    <w:name w:val="RegionMarkerTok"/>
    <w:basedOn w:val="39"/>
    <w:qFormat/>
    <w:uiPriority w:val="0"/>
    <w:rPr>
      <w:rFonts w:ascii="Consolas" w:hAnsi="Consolas"/>
      <w:sz w:val="22"/>
    </w:rPr>
  </w:style>
  <w:style w:type="character" w:customStyle="1" w:styleId="69">
    <w:name w:val="InformationTok"/>
    <w:basedOn w:val="39"/>
    <w:qFormat/>
    <w:uiPriority w:val="0"/>
    <w:rPr>
      <w:rFonts w:ascii="Consolas" w:hAnsi="Consolas"/>
      <w:b/>
      <w:i/>
      <w:color w:val="60A0B0"/>
      <w:sz w:val="22"/>
    </w:rPr>
  </w:style>
  <w:style w:type="character" w:customStyle="1" w:styleId="70">
    <w:name w:val="WarningTok"/>
    <w:basedOn w:val="39"/>
    <w:qFormat/>
    <w:uiPriority w:val="0"/>
    <w:rPr>
      <w:rFonts w:ascii="Consolas" w:hAnsi="Consolas"/>
      <w:b/>
      <w:i/>
      <w:color w:val="60A0B0"/>
      <w:sz w:val="22"/>
    </w:rPr>
  </w:style>
  <w:style w:type="character" w:customStyle="1" w:styleId="71">
    <w:name w:val="AlertTok"/>
    <w:basedOn w:val="39"/>
    <w:qFormat/>
    <w:uiPriority w:val="0"/>
    <w:rPr>
      <w:rFonts w:ascii="Consolas" w:hAnsi="Consolas"/>
      <w:b/>
      <w:color w:val="FF0000"/>
      <w:sz w:val="22"/>
    </w:rPr>
  </w:style>
  <w:style w:type="character" w:customStyle="1" w:styleId="72">
    <w:name w:val="ErrorTok"/>
    <w:basedOn w:val="39"/>
    <w:qFormat/>
    <w:uiPriority w:val="0"/>
    <w:rPr>
      <w:rFonts w:ascii="Consolas" w:hAnsi="Consolas"/>
      <w:b/>
      <w:color w:val="FF0000"/>
      <w:sz w:val="22"/>
    </w:rPr>
  </w:style>
  <w:style w:type="character" w:customStyle="1" w:styleId="73">
    <w:name w:val="NormalTok"/>
    <w:basedOn w:val="39"/>
    <w:qFormat/>
    <w:uiPriority w:val="0"/>
    <w:rPr>
      <w:rFonts w:ascii="Consolas" w:hAnsi="Consolas"/>
      <w:sz w:val="22"/>
    </w:rPr>
  </w:style>
  <w:style w:type="paragraph" w:customStyle="1" w:styleId="74">
    <w:name w:val="p1"/>
    <w:basedOn w:val="1"/>
    <w:qFormat/>
    <w:uiPriority w:val="0"/>
    <w:pPr>
      <w:spacing w:before="100" w:beforeAutospacing="1" w:after="100" w:afterAutospacing="1"/>
    </w:pPr>
    <w:rPr>
      <w:rFonts w:ascii="Times New Roman" w:hAnsi="Times New Roman" w:eastAsia="Times New Roman" w:cs="Times New Roman"/>
      <w:lang w:eastAsia="zh-CN"/>
    </w:rPr>
  </w:style>
  <w:style w:type="paragraph" w:styleId="75">
    <w:name w:val="List Paragraph"/>
    <w:basedOn w:val="1"/>
    <w:qFormat/>
    <w:uiPriority w:val="99"/>
    <w:pPr>
      <w:ind w:firstLine="420" w:firstLineChars="200"/>
    </w:pPr>
  </w:style>
  <w:style w:type="character" w:customStyle="1" w:styleId="76">
    <w:name w:val="页眉 字符"/>
    <w:basedOn w:val="22"/>
    <w:link w:val="17"/>
    <w:qFormat/>
    <w:uiPriority w:val="0"/>
    <w:rPr>
      <w:sz w:val="18"/>
      <w:szCs w:val="18"/>
      <w:lang w:eastAsia="en-US"/>
    </w:rPr>
  </w:style>
  <w:style w:type="character" w:customStyle="1" w:styleId="77">
    <w:name w:val="页脚 字符"/>
    <w:basedOn w:val="22"/>
    <w:link w:val="16"/>
    <w:qFormat/>
    <w:uiPriority w:val="0"/>
    <w:rPr>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12</Pages>
  <Words>805</Words>
  <Characters>4590</Characters>
  <Lines>38</Lines>
  <Paragraphs>10</Paragraphs>
  <TotalTime>4</TotalTime>
  <ScaleCrop>false</ScaleCrop>
  <LinksUpToDate>false</LinksUpToDate>
  <CharactersWithSpaces>5385</CharactersWithSpaces>
  <Application>WPS Office_12.1.0.17885_F1E327BC-269C-435d-A152-05C5408002CA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2025-03-19T12:46:00Z</dcterms:created>
  <dc:creator>ZZB</dc:creator>
  <cp:lastModifiedBy>kylin</cp:lastModifiedBy>
  <dcterms:modified xsi:type="dcterms:W3CDTF">2025-03-19T14:21:28Z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2052-12.1.0.17885</vt:lpwstr>
  </property>
  <property fmtid="{D5CDD505-2E9C-101B-9397-08002B2CF9AE}" pid="3" name="ICV">
    <vt:lpwstr>ECD4CB40B9BF423D9B898C66F3B0C819_12</vt:lpwstr>
  </property>
</Properties>
</file>