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42536">
      <w:pPr>
        <w:pStyle w:val="2"/>
        <w:spacing w:before="0" w:line="360" w:lineRule="auto"/>
        <w:jc w:val="center"/>
        <w:rPr>
          <w:lang w:eastAsia="zh-CN"/>
        </w:rPr>
      </w:pPr>
      <w:bookmarkStart w:id="0" w:name="_Hlk182498536"/>
      <w:bookmarkStart w:id="1" w:name="自主可控网络安全技术---机密计算安全服务接口规范征求意见稿编制说明"/>
      <w:bookmarkStart w:id="31" w:name="_GoBack"/>
      <w:bookmarkEnd w:id="31"/>
      <w:r>
        <w:rPr>
          <w:rFonts w:hint="eastAsia" w:ascii="黑体" w:hAnsi="黑体" w:eastAsia="黑体" w:cs="黑体"/>
          <w:lang w:val="en-US" w:eastAsia="zh-CN"/>
        </w:rPr>
        <w:t>团体标准</w:t>
      </w:r>
      <w:r>
        <w:rPr>
          <w:rFonts w:hint="eastAsia" w:ascii="黑体" w:hAnsi="黑体" w:eastAsia="黑体" w:cs="黑体"/>
          <w:lang w:eastAsia="zh-CN"/>
        </w:rPr>
        <w:t>《泛在操作系统</w:t>
      </w:r>
      <w:bookmarkStart w:id="2" w:name="OLE_LINK1"/>
      <w:r>
        <w:rPr>
          <w:rFonts w:hint="eastAsia" w:ascii="黑体" w:hAnsi="黑体" w:eastAsia="黑体" w:cs="黑体"/>
          <w:lang w:val="en-US" w:eastAsia="zh-CN"/>
        </w:rPr>
        <w:t xml:space="preserve">  </w:t>
      </w:r>
      <w:r>
        <w:rPr>
          <w:rFonts w:hint="eastAsia" w:ascii="黑体" w:hAnsi="黑体" w:eastAsia="黑体" w:cs="黑体"/>
          <w:lang w:eastAsia="zh-CN"/>
        </w:rPr>
        <w:t>第1部分：</w:t>
      </w:r>
      <w:bookmarkEnd w:id="2"/>
      <w:r>
        <w:rPr>
          <w:rFonts w:hint="eastAsia" w:ascii="黑体" w:hAnsi="黑体" w:eastAsia="黑体" w:cs="黑体"/>
          <w:lang w:eastAsia="zh-CN"/>
        </w:rPr>
        <w:t>术语》</w:t>
      </w:r>
      <w:r>
        <w:rPr>
          <w:rFonts w:hint="eastAsia" w:ascii="黑体" w:hAnsi="黑体" w:eastAsia="黑体" w:cs="黑体"/>
          <w:lang w:eastAsia="zh-CN"/>
        </w:rPr>
        <w:t>（征求意见稿）</w:t>
      </w:r>
      <w:r>
        <w:rPr>
          <w:rFonts w:hint="eastAsia" w:ascii="黑体" w:hAnsi="黑体" w:eastAsia="黑体" w:cs="黑体"/>
          <w:lang w:eastAsia="zh-CN"/>
        </w:rPr>
        <w:t>编制说明</w:t>
      </w:r>
    </w:p>
    <w:p w14:paraId="01D2A108">
      <w:pPr>
        <w:pStyle w:val="3"/>
        <w:rPr>
          <w:lang w:eastAsia="zh-CN"/>
        </w:rPr>
      </w:pPr>
    </w:p>
    <w:bookmarkEnd w:id="0"/>
    <w:p w14:paraId="30245F3C">
      <w:pPr>
        <w:pStyle w:val="4"/>
        <w:jc w:val="both"/>
        <w:rPr>
          <w:lang w:eastAsia="zh-CN"/>
        </w:rPr>
      </w:pPr>
      <w:bookmarkStart w:id="3" w:name="一工作简况"/>
      <w:r>
        <w:rPr>
          <w:lang w:eastAsia="zh-CN"/>
        </w:rPr>
        <w:t>一、工作简况</w:t>
      </w:r>
    </w:p>
    <w:p w14:paraId="7E6659BC">
      <w:pPr>
        <w:pStyle w:val="5"/>
        <w:jc w:val="both"/>
        <w:rPr>
          <w:lang w:eastAsia="zh-CN"/>
        </w:rPr>
      </w:pPr>
      <w:bookmarkStart w:id="4" w:name="一任务来源"/>
      <w:r>
        <w:rPr>
          <w:lang w:eastAsia="zh-CN"/>
        </w:rPr>
        <w:t>（一）任务来源</w:t>
      </w:r>
    </w:p>
    <w:p w14:paraId="3EEB8812">
      <w:pPr>
        <w:pStyle w:val="28"/>
        <w:spacing w:line="360" w:lineRule="auto"/>
        <w:ind w:firstLine="480" w:firstLineChars="200"/>
        <w:jc w:val="both"/>
        <w:rPr>
          <w:rFonts w:hint="eastAsia" w:ascii="宋体" w:hAnsi="宋体" w:eastAsia="宋体" w:cs="宋体"/>
          <w:lang w:eastAsia="zh-CN"/>
        </w:rPr>
      </w:pPr>
      <w:r>
        <w:rPr>
          <w:rFonts w:hint="eastAsia"/>
          <w:lang w:eastAsia="zh-CN"/>
        </w:rPr>
        <w:t>本标准</w:t>
      </w:r>
      <w:r>
        <w:rPr>
          <w:rFonts w:hint="eastAsia"/>
          <w:lang w:val="en-US" w:eastAsia="zh-CN"/>
        </w:rPr>
        <w:t>来源于国家重点研发计划</w:t>
      </w:r>
      <w:r>
        <w:rPr>
          <w:rFonts w:hint="eastAsia" w:ascii="宋体" w:hAnsi="宋体" w:eastAsia="宋体" w:cs="宋体"/>
          <w:lang w:eastAsia="zh-CN"/>
        </w:rPr>
        <w:t>“先进计算与新兴软件”</w:t>
      </w:r>
      <w:r>
        <w:rPr>
          <w:rFonts w:hint="eastAsia"/>
          <w:lang w:val="en-US" w:eastAsia="zh-CN"/>
        </w:rPr>
        <w:t>专项</w:t>
      </w:r>
      <w:r>
        <w:rPr>
          <w:rFonts w:hint="eastAsia"/>
          <w:lang w:eastAsia="zh-CN"/>
        </w:rPr>
        <w:t>。</w:t>
      </w:r>
      <w:bookmarkStart w:id="5" w:name="OLE_LINK2"/>
      <w:r>
        <w:rPr>
          <w:rFonts w:hint="eastAsia"/>
          <w:highlight w:val="none"/>
          <w:lang w:eastAsia="zh-CN"/>
        </w:rPr>
        <w:t>中国电子商会</w:t>
      </w:r>
      <w:r>
        <w:rPr>
          <w:rFonts w:hint="eastAsia" w:ascii="宋体" w:hAnsi="宋体" w:eastAsia="宋体" w:cs="宋体"/>
          <w:highlight w:val="none"/>
          <w:lang w:val="en-US" w:eastAsia="zh-CN"/>
        </w:rPr>
        <w:t>于2024年11月18日</w:t>
      </w:r>
      <w:r>
        <w:rPr>
          <w:rFonts w:hint="eastAsia" w:ascii="宋体" w:hAnsi="宋体" w:eastAsia="宋体" w:cs="宋体"/>
          <w:lang w:val="en-US" w:eastAsia="zh-CN"/>
        </w:rPr>
        <w:t>发布关于《泛在操作系统》系列标准立项的公告</w:t>
      </w:r>
      <w:r>
        <w:rPr>
          <w:rFonts w:hint="eastAsia" w:ascii="宋体" w:hAnsi="宋体" w:eastAsia="宋体" w:cs="宋体"/>
          <w:lang w:eastAsia="zh-CN"/>
        </w:rPr>
        <w:t>，《</w:t>
      </w:r>
      <w:r>
        <w:rPr>
          <w:rFonts w:hint="eastAsia" w:ascii="宋体" w:hAnsi="宋体" w:eastAsia="宋体" w:cs="宋体"/>
          <w:lang w:val="en-US" w:eastAsia="zh-CN"/>
        </w:rPr>
        <w:t>泛在操作系统  第1部分：术语</w:t>
      </w:r>
      <w:r>
        <w:rPr>
          <w:rFonts w:hint="eastAsia" w:ascii="宋体" w:hAnsi="宋体" w:eastAsia="宋体" w:cs="宋体"/>
          <w:lang w:eastAsia="zh-CN"/>
        </w:rPr>
        <w:t>》</w:t>
      </w:r>
      <w:r>
        <w:rPr>
          <w:rFonts w:hint="eastAsia" w:ascii="宋体" w:hAnsi="宋体" w:eastAsia="宋体" w:cs="宋体"/>
          <w:lang w:val="en-US" w:eastAsia="zh-CN"/>
        </w:rPr>
        <w:t>团体标准正式立项，项目编号为CECC 2024-4-066</w:t>
      </w:r>
      <w:r>
        <w:rPr>
          <w:rFonts w:hint="eastAsia" w:ascii="宋体" w:hAnsi="宋体" w:eastAsia="宋体" w:cs="宋体"/>
          <w:lang w:eastAsia="zh-CN"/>
        </w:rPr>
        <w:t>。</w:t>
      </w:r>
      <w:bookmarkEnd w:id="5"/>
    </w:p>
    <w:p w14:paraId="378D7270">
      <w:pPr>
        <w:pStyle w:val="28"/>
        <w:spacing w:line="360" w:lineRule="auto"/>
        <w:ind w:firstLine="480" w:firstLineChars="200"/>
        <w:jc w:val="both"/>
        <w:rPr>
          <w:lang w:eastAsia="zh-CN"/>
        </w:rPr>
      </w:pPr>
      <w:r>
        <w:rPr>
          <w:rFonts w:hint="eastAsia"/>
          <w:lang w:eastAsia="zh-CN"/>
        </w:rPr>
        <w:t>研究结果表明，物联网、嵌入式设备、人工智能等软硬件技术的快速发展为人机物融合应用带来了全新的机遇；</w:t>
      </w:r>
      <w:r>
        <w:rPr>
          <w:rFonts w:hint="eastAsia"/>
          <w:lang w:val="en-US" w:eastAsia="zh-CN"/>
        </w:rPr>
        <w:t>各种新定义、新概念层出不穷，而场景的差异性和技术迭代的快速性使泛在操作系统领域概念定义的解读经常出现不一致的情况，从而使技术交流、沟通更加困难。本标准的编制</w:t>
      </w:r>
      <w:r>
        <w:rPr>
          <w:rFonts w:hint="eastAsia"/>
          <w:lang w:eastAsia="zh-CN"/>
        </w:rPr>
        <w:t>旨在针对人机物融合应用场景的泛在操作系统相关</w:t>
      </w:r>
      <w:r>
        <w:rPr>
          <w:rFonts w:hint="eastAsia"/>
          <w:lang w:val="en-US" w:eastAsia="zh-CN"/>
        </w:rPr>
        <w:t>概念及其定义提供统一规范和明确界定的准则，目的是通过标准化术语的名称和含义说明</w:t>
      </w:r>
      <w:r>
        <w:rPr>
          <w:rFonts w:hint="eastAsia"/>
          <w:lang w:eastAsia="zh-CN"/>
        </w:rPr>
        <w:t>，</w:t>
      </w:r>
      <w:r>
        <w:rPr>
          <w:rFonts w:hint="eastAsia"/>
          <w:lang w:val="en-US" w:eastAsia="zh-CN"/>
        </w:rPr>
        <w:t>促进泛在操作系统领域技术交流的准确性和一致性，加深</w:t>
      </w:r>
      <w:r>
        <w:rPr>
          <w:rFonts w:hint="eastAsia"/>
          <w:lang w:eastAsia="zh-CN"/>
        </w:rPr>
        <w:t>对泛在操作系统概念的理解，</w:t>
      </w:r>
      <w:r>
        <w:rPr>
          <w:rFonts w:hint="eastAsia"/>
          <w:lang w:val="en-US" w:eastAsia="zh-CN"/>
        </w:rPr>
        <w:t>同时为</w:t>
      </w:r>
      <w:r>
        <w:rPr>
          <w:rFonts w:hint="eastAsia"/>
          <w:lang w:eastAsia="zh-CN"/>
        </w:rPr>
        <w:t>其他泛在操作系统标准的制定</w:t>
      </w:r>
      <w:r>
        <w:rPr>
          <w:rFonts w:hint="eastAsia"/>
          <w:lang w:val="en-US" w:eastAsia="zh-CN"/>
        </w:rPr>
        <w:t>奠定一个坚实的基础</w:t>
      </w:r>
      <w:r>
        <w:rPr>
          <w:rFonts w:hint="eastAsia"/>
          <w:lang w:eastAsia="zh-CN"/>
        </w:rPr>
        <w:t>。</w:t>
      </w:r>
    </w:p>
    <w:bookmarkEnd w:id="4"/>
    <w:p w14:paraId="486C1751">
      <w:pPr>
        <w:pStyle w:val="5"/>
        <w:jc w:val="both"/>
        <w:rPr>
          <w:lang w:eastAsia="zh-CN"/>
        </w:rPr>
      </w:pPr>
      <w:bookmarkStart w:id="6" w:name="二协作单位"/>
      <w:r>
        <w:rPr>
          <w:lang w:eastAsia="zh-CN"/>
        </w:rPr>
        <w:t>（二）</w:t>
      </w:r>
      <w:r>
        <w:rPr>
          <w:rFonts w:hint="eastAsia"/>
          <w:lang w:val="en-US" w:eastAsia="zh-CN"/>
        </w:rPr>
        <w:t>标准起草</w:t>
      </w:r>
      <w:r>
        <w:rPr>
          <w:lang w:eastAsia="zh-CN"/>
        </w:rPr>
        <w:t>单位</w:t>
      </w:r>
    </w:p>
    <w:p w14:paraId="75C75617">
      <w:pPr>
        <w:pStyle w:val="28"/>
        <w:spacing w:line="360" w:lineRule="auto"/>
        <w:ind w:firstLine="480" w:firstLineChars="200"/>
        <w:jc w:val="both"/>
        <w:rPr>
          <w:lang w:eastAsia="zh-CN"/>
        </w:rPr>
      </w:pPr>
      <w:bookmarkStart w:id="7" w:name="OLE_LINK3"/>
      <w:r>
        <w:rPr>
          <w:lang w:eastAsia="zh-CN"/>
        </w:rPr>
        <w:t>本标准起草单位</w:t>
      </w:r>
      <w:r>
        <w:rPr>
          <w:rFonts w:hint="eastAsia"/>
          <w:lang w:eastAsia="zh-CN"/>
        </w:rPr>
        <w:t>：</w:t>
      </w:r>
      <w:bookmarkEnd w:id="7"/>
      <w:r>
        <w:rPr>
          <w:rFonts w:hint="eastAsia"/>
          <w:lang w:eastAsia="zh-CN"/>
        </w:rPr>
        <w:t>南京大学、北京大学、复旦大学、之江实验室、麒麟软件有限公司</w:t>
      </w:r>
      <w:r>
        <w:rPr>
          <w:lang w:eastAsia="zh-CN"/>
        </w:rPr>
        <w:t>。这些单位</w:t>
      </w:r>
      <w:r>
        <w:rPr>
          <w:rFonts w:hint="eastAsia"/>
          <w:lang w:eastAsia="zh-CN"/>
        </w:rPr>
        <w:t>在泛在计算、操作系统、物联网、人机交互等领域具有丰富的理论与实践经验，为术语定义提供了坚实的理论和实践支撑</w:t>
      </w:r>
      <w:r>
        <w:rPr>
          <w:lang w:eastAsia="zh-CN"/>
        </w:rPr>
        <w:t>。</w:t>
      </w:r>
    </w:p>
    <w:p w14:paraId="0B48796E">
      <w:pPr>
        <w:pStyle w:val="3"/>
        <w:spacing w:line="360" w:lineRule="auto"/>
        <w:rPr>
          <w:rFonts w:hint="default"/>
          <w:lang w:val="en-US" w:eastAsia="zh-CN"/>
        </w:rPr>
      </w:pPr>
      <w:r>
        <w:rPr>
          <w:rFonts w:hint="eastAsia"/>
          <w:lang w:val="en-US" w:eastAsia="zh-CN"/>
        </w:rPr>
        <w:t xml:space="preserve">        本标准起草人：</w:t>
      </w:r>
      <w:r>
        <w:rPr>
          <w:rFonts w:hint="eastAsia"/>
          <w:highlight w:val="none"/>
          <w:lang w:eastAsia="zh-CN"/>
        </w:rPr>
        <w:t>李宣东、蒋炎岩、郭耀、沈立炜、高丰、战茅、余萍、王慧妍</w:t>
      </w:r>
      <w:r>
        <w:rPr>
          <w:highlight w:val="none"/>
          <w:lang w:eastAsia="zh-CN"/>
        </w:rPr>
        <w:t>。</w:t>
      </w:r>
    </w:p>
    <w:bookmarkEnd w:id="6"/>
    <w:p w14:paraId="7B3E9E1F">
      <w:pPr>
        <w:pStyle w:val="5"/>
        <w:spacing w:line="360" w:lineRule="auto"/>
        <w:jc w:val="both"/>
      </w:pPr>
      <w:bookmarkStart w:id="8" w:name="三主要工作过程"/>
      <w:r>
        <w:t>（三）主要工作过程</w:t>
      </w:r>
    </w:p>
    <w:p w14:paraId="2C450F83">
      <w:pPr>
        <w:pStyle w:val="29"/>
        <w:numPr>
          <w:ilvl w:val="0"/>
          <w:numId w:val="1"/>
        </w:numPr>
        <w:spacing w:line="360" w:lineRule="auto"/>
        <w:jc w:val="both"/>
      </w:pPr>
      <w:r>
        <w:rPr>
          <w:b/>
          <w:bCs/>
        </w:rPr>
        <w:t>预研阶段</w:t>
      </w:r>
    </w:p>
    <w:p w14:paraId="7070DEFE">
      <w:pPr>
        <w:pStyle w:val="29"/>
        <w:numPr>
          <w:ilvl w:val="1"/>
          <w:numId w:val="2"/>
        </w:numPr>
        <w:spacing w:line="360" w:lineRule="auto"/>
        <w:jc w:val="both"/>
        <w:rPr>
          <w:lang w:eastAsia="zh-CN"/>
        </w:rPr>
      </w:pPr>
      <w:r>
        <w:rPr>
          <w:lang w:eastAsia="zh-CN"/>
        </w:rPr>
        <w:t>各起草单位对</w:t>
      </w:r>
      <w:r>
        <w:rPr>
          <w:rFonts w:hint="eastAsia"/>
          <w:lang w:val="en-US" w:eastAsia="zh-CN"/>
        </w:rPr>
        <w:t>泛在</w:t>
      </w:r>
      <w:r>
        <w:rPr>
          <w:rFonts w:hint="eastAsia"/>
          <w:lang w:eastAsia="zh-CN"/>
        </w:rPr>
        <w:t>操作系统、</w:t>
      </w:r>
      <w:r>
        <w:rPr>
          <w:lang w:eastAsia="zh-CN"/>
        </w:rPr>
        <w:t>人机物融合</w:t>
      </w:r>
      <w:r>
        <w:rPr>
          <w:rFonts w:hint="eastAsia"/>
          <w:lang w:eastAsia="zh-CN"/>
        </w:rPr>
        <w:t>应用等相关技术</w:t>
      </w:r>
      <w:r>
        <w:rPr>
          <w:lang w:eastAsia="zh-CN"/>
        </w:rPr>
        <w:t>现状开展了深入调研，并系统梳理了</w:t>
      </w:r>
      <w:r>
        <w:rPr>
          <w:rFonts w:hint="eastAsia"/>
          <w:lang w:val="en-US" w:eastAsia="zh-CN"/>
        </w:rPr>
        <w:t>泛在操作系统领域相关的概念和定义，以及各自应用场景下的内涵表述</w:t>
      </w:r>
      <w:r>
        <w:rPr>
          <w:lang w:eastAsia="zh-CN"/>
        </w:rPr>
        <w:t>。</w:t>
      </w:r>
    </w:p>
    <w:p w14:paraId="35279E46">
      <w:pPr>
        <w:pStyle w:val="29"/>
        <w:numPr>
          <w:ilvl w:val="1"/>
          <w:numId w:val="2"/>
        </w:numPr>
        <w:spacing w:line="360" w:lineRule="auto"/>
        <w:jc w:val="both"/>
        <w:rPr>
          <w:lang w:eastAsia="zh-CN"/>
        </w:rPr>
      </w:pPr>
      <w:r>
        <w:rPr>
          <w:lang w:eastAsia="zh-CN"/>
        </w:rPr>
        <w:t>对国内外相关标准和技术文献进行收集和分析，了解</w:t>
      </w:r>
      <w:r>
        <w:rPr>
          <w:rFonts w:hint="eastAsia"/>
          <w:lang w:eastAsia="zh-CN"/>
        </w:rPr>
        <w:t>泛在操作系统相关技术</w:t>
      </w:r>
      <w:r>
        <w:rPr>
          <w:lang w:eastAsia="zh-CN"/>
        </w:rPr>
        <w:t>在不同地区和行业的应用情况以及相关标准的制定情况，为标准的制定奠定了坚实的理论基础。</w:t>
      </w:r>
    </w:p>
    <w:p w14:paraId="4BEFC1C4">
      <w:pPr>
        <w:pStyle w:val="29"/>
        <w:numPr>
          <w:ilvl w:val="0"/>
          <w:numId w:val="1"/>
        </w:numPr>
        <w:spacing w:line="360" w:lineRule="auto"/>
        <w:jc w:val="both"/>
      </w:pPr>
      <w:r>
        <w:rPr>
          <w:b/>
          <w:bCs/>
        </w:rPr>
        <w:t>起草小组组建</w:t>
      </w:r>
    </w:p>
    <w:p w14:paraId="47E949FB">
      <w:pPr>
        <w:pStyle w:val="29"/>
        <w:numPr>
          <w:ilvl w:val="1"/>
          <w:numId w:val="2"/>
        </w:numPr>
        <w:spacing w:line="360" w:lineRule="auto"/>
        <w:jc w:val="both"/>
        <w:rPr>
          <w:lang w:eastAsia="zh-CN"/>
        </w:rPr>
      </w:pPr>
      <w:r>
        <w:rPr>
          <w:lang w:eastAsia="zh-CN"/>
        </w:rPr>
        <w:t>根据各单位的专业优势和技术特长，组建了由</w:t>
      </w:r>
      <w:r>
        <w:rPr>
          <w:rFonts w:hint="eastAsia"/>
          <w:lang w:val="en-US" w:eastAsia="zh-CN"/>
        </w:rPr>
        <w:t>操作系统领域知名专家、高校教授、研究所高级研究人员、</w:t>
      </w:r>
      <w:r>
        <w:rPr>
          <w:lang w:eastAsia="zh-CN"/>
        </w:rPr>
        <w:t>软件开发工程师等多学科背景人员构成的起草小组。</w:t>
      </w:r>
    </w:p>
    <w:p w14:paraId="5BC7EA7D">
      <w:pPr>
        <w:pStyle w:val="29"/>
        <w:numPr>
          <w:ilvl w:val="1"/>
          <w:numId w:val="2"/>
        </w:numPr>
        <w:spacing w:line="360" w:lineRule="auto"/>
        <w:jc w:val="both"/>
        <w:rPr>
          <w:lang w:eastAsia="zh-CN"/>
        </w:rPr>
      </w:pPr>
      <w:r>
        <w:rPr>
          <w:lang w:eastAsia="zh-CN"/>
        </w:rPr>
        <w:t>明确了起草小组各成员的职责和分工，确保标准起草工作有序进行。</w:t>
      </w:r>
    </w:p>
    <w:p w14:paraId="1F7BA21E">
      <w:pPr>
        <w:pStyle w:val="29"/>
        <w:numPr>
          <w:ilvl w:val="0"/>
          <w:numId w:val="1"/>
        </w:numPr>
        <w:spacing w:line="360" w:lineRule="auto"/>
        <w:jc w:val="both"/>
      </w:pPr>
      <w:r>
        <w:rPr>
          <w:b/>
          <w:bCs/>
        </w:rPr>
        <w:t>标准起草</w:t>
      </w:r>
    </w:p>
    <w:p w14:paraId="6507112B">
      <w:pPr>
        <w:pStyle w:val="29"/>
        <w:numPr>
          <w:ilvl w:val="1"/>
          <w:numId w:val="2"/>
        </w:numPr>
        <w:spacing w:line="360" w:lineRule="auto"/>
        <w:jc w:val="both"/>
        <w:rPr>
          <w:lang w:eastAsia="zh-CN"/>
        </w:rPr>
      </w:pPr>
      <w:bookmarkStart w:id="9" w:name="OLE_LINK4"/>
      <w:r>
        <w:rPr>
          <w:rFonts w:hint="eastAsia" w:ascii="宋体" w:hAnsi="宋体" w:eastAsia="宋体" w:cs="宋体"/>
          <w:lang w:val="en-US" w:eastAsia="zh-CN"/>
        </w:rPr>
        <w:t>2024年6月，</w:t>
      </w:r>
      <w:bookmarkEnd w:id="9"/>
      <w:r>
        <w:rPr>
          <w:rFonts w:hint="eastAsia" w:ascii="宋体" w:hAnsi="宋体" w:eastAsia="宋体" w:cs="宋体"/>
          <w:lang w:eastAsia="zh-CN"/>
        </w:rPr>
        <w:t>起草小组开始起草《泛在操作系统</w:t>
      </w:r>
      <w:r>
        <w:rPr>
          <w:rFonts w:hint="eastAsia" w:ascii="宋体" w:hAnsi="宋体" w:eastAsia="宋体" w:cs="宋体"/>
          <w:lang w:val="en-US" w:eastAsia="zh-CN"/>
        </w:rPr>
        <w:t xml:space="preserve"> </w:t>
      </w:r>
      <w:r>
        <w:rPr>
          <w:rFonts w:hint="eastAsia" w:ascii="宋体" w:hAnsi="宋体" w:eastAsia="宋体" w:cs="宋体"/>
          <w:lang w:eastAsia="zh-CN"/>
        </w:rPr>
        <w:t xml:space="preserve"> </w:t>
      </w:r>
      <w:bookmarkStart w:id="10" w:name="OLE_LINK7"/>
      <w:r>
        <w:rPr>
          <w:rFonts w:hint="eastAsia" w:ascii="宋体" w:hAnsi="宋体" w:eastAsia="宋体" w:cs="宋体"/>
          <w:lang w:eastAsia="zh-CN"/>
        </w:rPr>
        <w:t>第</w:t>
      </w:r>
      <w:r>
        <w:rPr>
          <w:rFonts w:hint="eastAsia" w:ascii="宋体" w:hAnsi="宋体" w:eastAsia="宋体" w:cs="宋体"/>
          <w:lang w:eastAsia="zh-CN"/>
        </w:rPr>
        <w:t>1</w:t>
      </w:r>
      <w:r>
        <w:rPr>
          <w:rFonts w:hint="eastAsia" w:ascii="宋体" w:hAnsi="宋体" w:eastAsia="宋体" w:cs="宋体"/>
          <w:lang w:eastAsia="zh-CN"/>
        </w:rPr>
        <w:t>部分：</w:t>
      </w:r>
      <w:bookmarkEnd w:id="10"/>
      <w:r>
        <w:rPr>
          <w:rFonts w:hint="eastAsia" w:ascii="宋体" w:hAnsi="宋体" w:eastAsia="宋体" w:cs="宋体"/>
          <w:lang w:eastAsia="zh-CN"/>
        </w:rPr>
        <w:t>术语》。</w:t>
      </w:r>
    </w:p>
    <w:p w14:paraId="5B2A8845">
      <w:pPr>
        <w:pStyle w:val="29"/>
        <w:numPr>
          <w:ilvl w:val="1"/>
          <w:numId w:val="2"/>
        </w:numPr>
        <w:spacing w:line="360" w:lineRule="auto"/>
        <w:jc w:val="both"/>
        <w:rPr>
          <w:lang w:eastAsia="zh-CN"/>
        </w:rPr>
      </w:pPr>
      <w:r>
        <w:rPr>
          <w:lang w:eastAsia="zh-CN"/>
        </w:rPr>
        <w:t>在起草过程中，充分考虑了</w:t>
      </w:r>
      <w:r>
        <w:rPr>
          <w:rFonts w:hint="eastAsia"/>
          <w:lang w:eastAsia="zh-CN"/>
        </w:rPr>
        <w:t>人机物融合场景</w:t>
      </w:r>
      <w:r>
        <w:rPr>
          <w:lang w:eastAsia="zh-CN"/>
        </w:rPr>
        <w:t>的特点以及</w:t>
      </w:r>
      <w:r>
        <w:rPr>
          <w:rFonts w:hint="eastAsia"/>
          <w:lang w:eastAsia="zh-CN"/>
        </w:rPr>
        <w:t>不同场景下的应用</w:t>
      </w:r>
      <w:r>
        <w:rPr>
          <w:lang w:eastAsia="zh-CN"/>
        </w:rPr>
        <w:t>需求，重点对</w:t>
      </w:r>
      <w:r>
        <w:rPr>
          <w:rFonts w:hint="eastAsia"/>
          <w:lang w:eastAsia="zh-CN"/>
        </w:rPr>
        <w:t>泛在资源与系统、泛在操作系统相关术语</w:t>
      </w:r>
      <w:r>
        <w:rPr>
          <w:lang w:eastAsia="zh-CN"/>
        </w:rPr>
        <w:t>进行了规范</w:t>
      </w:r>
      <w:r>
        <w:rPr>
          <w:rFonts w:hint="eastAsia"/>
          <w:lang w:eastAsia="zh-CN"/>
        </w:rPr>
        <w:t>，涵盖泛在计算、泛在计算资源、泛在操作系统、人机物融合应用、场景计算机等泛在领域常用词汇</w:t>
      </w:r>
      <w:r>
        <w:rPr>
          <w:lang w:eastAsia="zh-CN"/>
        </w:rPr>
        <w:t>。</w:t>
      </w:r>
    </w:p>
    <w:p w14:paraId="09BA9D41">
      <w:pPr>
        <w:pStyle w:val="29"/>
        <w:numPr>
          <w:ilvl w:val="1"/>
          <w:numId w:val="2"/>
        </w:numPr>
        <w:spacing w:line="360" w:lineRule="auto"/>
        <w:jc w:val="both"/>
        <w:rPr>
          <w:lang w:eastAsia="zh-CN"/>
        </w:rPr>
      </w:pPr>
      <w:r>
        <w:rPr>
          <w:lang w:eastAsia="zh-CN"/>
        </w:rPr>
        <w:t>针对</w:t>
      </w:r>
      <w:r>
        <w:rPr>
          <w:rFonts w:hint="eastAsia"/>
          <w:lang w:eastAsia="zh-CN"/>
        </w:rPr>
        <w:t>泛在操作系统内异构资源及系统、多样化的人机物融合应用需求</w:t>
      </w:r>
      <w:r>
        <w:rPr>
          <w:lang w:eastAsia="zh-CN"/>
        </w:rPr>
        <w:t>进行了详细的规定，以确保通过该标准能够实现</w:t>
      </w:r>
      <w:r>
        <w:rPr>
          <w:rFonts w:hint="eastAsia"/>
          <w:lang w:eastAsia="zh-CN"/>
        </w:rPr>
        <w:t>泛在操作系统术语</w:t>
      </w:r>
      <w:r>
        <w:rPr>
          <w:lang w:eastAsia="zh-CN"/>
        </w:rPr>
        <w:t>的标准化，</w:t>
      </w:r>
      <w:r>
        <w:rPr>
          <w:rFonts w:hint="eastAsia"/>
          <w:lang w:eastAsia="zh-CN"/>
        </w:rPr>
        <w:t>促进泛在操作系统术语的应用和推广，推动泛在操作系统在计算模型、体系结构、应用构造、可信保障等方面的创新发展。</w:t>
      </w:r>
    </w:p>
    <w:p w14:paraId="572F8673">
      <w:pPr>
        <w:pStyle w:val="29"/>
        <w:numPr>
          <w:ilvl w:val="0"/>
          <w:numId w:val="1"/>
        </w:numPr>
        <w:spacing w:line="360" w:lineRule="auto"/>
        <w:jc w:val="both"/>
      </w:pPr>
      <w:r>
        <w:rPr>
          <w:b/>
          <w:bCs/>
        </w:rPr>
        <w:t>评审与修改</w:t>
      </w:r>
    </w:p>
    <w:p w14:paraId="5545E0B0">
      <w:pPr>
        <w:pStyle w:val="29"/>
        <w:numPr>
          <w:ilvl w:val="1"/>
          <w:numId w:val="2"/>
        </w:numPr>
        <w:spacing w:line="360" w:lineRule="auto"/>
        <w:jc w:val="both"/>
        <w:rPr>
          <w:lang w:eastAsia="zh-CN"/>
        </w:rPr>
      </w:pPr>
      <w:bookmarkStart w:id="11" w:name="OLE_LINK5"/>
      <w:r>
        <w:rPr>
          <w:rFonts w:hint="eastAsia" w:ascii="宋体" w:hAnsi="宋体" w:eastAsia="宋体" w:cs="宋体"/>
          <w:lang w:val="en-US" w:eastAsia="zh-CN"/>
        </w:rPr>
        <w:t>2024年10月形成标准初稿。</w:t>
      </w:r>
      <w:bookmarkEnd w:id="11"/>
      <w:r>
        <w:rPr>
          <w:lang w:eastAsia="zh-CN"/>
        </w:rPr>
        <w:t>各起草单位代表对标准初稿进行了细致的审查，从技术准确性、内容完整性、条款合理性、语言规范性等多个方面提出了修改意见和建议</w:t>
      </w:r>
      <w:r>
        <w:rPr>
          <w:rFonts w:hint="eastAsia"/>
          <w:lang w:eastAsia="zh-CN"/>
        </w:rPr>
        <w:t>，</w:t>
      </w:r>
      <w:r>
        <w:rPr>
          <w:rFonts w:hint="eastAsia"/>
          <w:lang w:val="en-US" w:eastAsia="zh-CN"/>
        </w:rPr>
        <w:t>起草小组根据内部审查意见进行修改完善</w:t>
      </w:r>
      <w:r>
        <w:rPr>
          <w:lang w:eastAsia="zh-CN"/>
        </w:rPr>
        <w:t>。</w:t>
      </w:r>
    </w:p>
    <w:p w14:paraId="15D2B0E6">
      <w:pPr>
        <w:pStyle w:val="29"/>
        <w:numPr>
          <w:ilvl w:val="1"/>
          <w:numId w:val="2"/>
        </w:numPr>
        <w:spacing w:line="360" w:lineRule="auto"/>
        <w:jc w:val="both"/>
        <w:rPr>
          <w:lang w:eastAsia="zh-CN"/>
        </w:rPr>
      </w:pPr>
      <w:r>
        <w:rPr>
          <w:rFonts w:hint="eastAsia" w:ascii="宋体" w:hAnsi="宋体" w:eastAsia="宋体" w:cs="宋体"/>
          <w:lang w:val="en-US" w:eastAsia="zh-CN"/>
        </w:rPr>
        <w:t>2024年11月通过团标立项评审。</w:t>
      </w:r>
    </w:p>
    <w:p w14:paraId="74C9A3E4">
      <w:pPr>
        <w:pStyle w:val="29"/>
        <w:numPr>
          <w:ilvl w:val="1"/>
          <w:numId w:val="2"/>
        </w:numPr>
        <w:spacing w:line="360" w:lineRule="auto"/>
        <w:jc w:val="both"/>
        <w:rPr>
          <w:lang w:eastAsia="zh-CN"/>
        </w:rPr>
      </w:pPr>
      <w:bookmarkStart w:id="12" w:name="OLE_LINK6"/>
      <w:r>
        <w:rPr>
          <w:rFonts w:hint="eastAsia" w:ascii="宋体" w:hAnsi="宋体" w:eastAsia="宋体" w:cs="宋体"/>
          <w:lang w:val="en-US" w:eastAsia="zh-CN"/>
        </w:rPr>
        <w:t>2025年3月</w:t>
      </w:r>
      <w:r>
        <w:rPr>
          <w:rFonts w:hint="eastAsia"/>
          <w:lang w:val="en-US" w:eastAsia="zh-CN"/>
        </w:rPr>
        <w:t>形成标准征求意见稿</w:t>
      </w:r>
      <w:r>
        <w:rPr>
          <w:lang w:eastAsia="zh-CN"/>
        </w:rPr>
        <w:t>。</w:t>
      </w:r>
      <w:r>
        <w:rPr>
          <w:rFonts w:hint="eastAsia" w:ascii="宋体" w:hAnsi="宋体" w:eastAsia="宋体" w:cs="宋体"/>
          <w:lang w:val="en-US" w:eastAsia="zh-CN"/>
        </w:rPr>
        <w:t>起草小组</w:t>
      </w:r>
      <w:bookmarkEnd w:id="12"/>
      <w:r>
        <w:rPr>
          <w:lang w:eastAsia="zh-CN"/>
        </w:rPr>
        <w:t>根据</w:t>
      </w:r>
      <w:r>
        <w:rPr>
          <w:rFonts w:hint="eastAsia"/>
          <w:lang w:val="en-US" w:eastAsia="zh-CN"/>
        </w:rPr>
        <w:t>专家</w:t>
      </w:r>
      <w:r>
        <w:rPr>
          <w:lang w:eastAsia="zh-CN"/>
        </w:rPr>
        <w:t>评审意见对标准进行修改完善，进一步优化</w:t>
      </w:r>
      <w:r>
        <w:rPr>
          <w:rFonts w:hint="eastAsia"/>
          <w:lang w:val="en-US" w:eastAsia="zh-CN"/>
        </w:rPr>
        <w:t>了</w:t>
      </w:r>
      <w:r>
        <w:rPr>
          <w:lang w:eastAsia="zh-CN"/>
        </w:rPr>
        <w:t>标准的结构和内容</w:t>
      </w:r>
      <w:r>
        <w:rPr>
          <w:rFonts w:hint="eastAsia"/>
          <w:lang w:eastAsia="zh-CN"/>
        </w:rPr>
        <w:t>。</w:t>
      </w:r>
    </w:p>
    <w:bookmarkEnd w:id="3"/>
    <w:bookmarkEnd w:id="8"/>
    <w:p w14:paraId="76A14781">
      <w:pPr>
        <w:pStyle w:val="4"/>
        <w:spacing w:line="360" w:lineRule="auto"/>
        <w:jc w:val="both"/>
        <w:rPr>
          <w:lang w:eastAsia="zh-CN"/>
        </w:rPr>
      </w:pPr>
      <w:bookmarkStart w:id="13" w:name="二标准编制原则和确定标准主要内容的依据"/>
      <w:r>
        <w:rPr>
          <w:lang w:eastAsia="zh-CN"/>
        </w:rPr>
        <w:t>二、标准编制原则和确定标准主要内容的依据</w:t>
      </w:r>
    </w:p>
    <w:p w14:paraId="24410C70">
      <w:pPr>
        <w:pStyle w:val="5"/>
        <w:spacing w:line="360" w:lineRule="auto"/>
        <w:jc w:val="both"/>
      </w:pPr>
      <w:bookmarkStart w:id="14" w:name="一编制原则"/>
      <w:r>
        <w:t>（一）编制原则</w:t>
      </w:r>
    </w:p>
    <w:p w14:paraId="6E86DFCE">
      <w:pPr>
        <w:pStyle w:val="29"/>
        <w:numPr>
          <w:ilvl w:val="0"/>
          <w:numId w:val="3"/>
        </w:numPr>
        <w:spacing w:line="360" w:lineRule="auto"/>
        <w:jc w:val="both"/>
      </w:pPr>
      <w:r>
        <w:rPr>
          <w:b/>
          <w:bCs/>
        </w:rPr>
        <w:t>科学性原则</w:t>
      </w:r>
    </w:p>
    <w:p w14:paraId="4744C7BD">
      <w:pPr>
        <w:pStyle w:val="29"/>
        <w:numPr>
          <w:ilvl w:val="1"/>
          <w:numId w:val="2"/>
        </w:numPr>
        <w:spacing w:line="360" w:lineRule="auto"/>
        <w:jc w:val="both"/>
        <w:rPr>
          <w:lang w:eastAsia="zh-CN"/>
        </w:rPr>
      </w:pPr>
      <w:r>
        <w:rPr>
          <w:lang w:eastAsia="zh-CN"/>
        </w:rPr>
        <w:t>本标准以科学的</w:t>
      </w:r>
      <w:r>
        <w:rPr>
          <w:rFonts w:hint="eastAsia"/>
          <w:lang w:eastAsia="zh-CN"/>
        </w:rPr>
        <w:t>泛在计算</w:t>
      </w:r>
      <w:r>
        <w:rPr>
          <w:lang w:eastAsia="zh-CN"/>
        </w:rPr>
        <w:t>理论</w:t>
      </w:r>
      <w:r>
        <w:rPr>
          <w:rFonts w:hint="eastAsia"/>
          <w:lang w:eastAsia="zh-CN"/>
        </w:rPr>
        <w:t>、操作系统</w:t>
      </w:r>
      <w:r>
        <w:rPr>
          <w:lang w:eastAsia="zh-CN"/>
        </w:rPr>
        <w:t>技术原理</w:t>
      </w:r>
      <w:r>
        <w:rPr>
          <w:rFonts w:hint="eastAsia"/>
          <w:lang w:eastAsia="zh-CN"/>
        </w:rPr>
        <w:t>及其它先进软硬件技术</w:t>
      </w:r>
      <w:r>
        <w:rPr>
          <w:lang w:eastAsia="zh-CN"/>
        </w:rPr>
        <w:t>为基础，确保标准内容准确反映</w:t>
      </w:r>
      <w:r>
        <w:rPr>
          <w:rFonts w:hint="eastAsia"/>
          <w:lang w:eastAsia="zh-CN"/>
        </w:rPr>
        <w:t>泛在操作系统的</w:t>
      </w:r>
      <w:r>
        <w:rPr>
          <w:lang w:eastAsia="zh-CN"/>
        </w:rPr>
        <w:t>技术内涵和要求。在标准起草过程中，参考了大量国内外权威的</w:t>
      </w:r>
      <w:r>
        <w:rPr>
          <w:rFonts w:hint="eastAsia"/>
          <w:lang w:eastAsia="zh-CN"/>
        </w:rPr>
        <w:t>泛在计算及人机物融合应用的</w:t>
      </w:r>
      <w:r>
        <w:rPr>
          <w:lang w:eastAsia="zh-CN"/>
        </w:rPr>
        <w:t>成果和技术文献，借鉴了相关领域的科学研究方法和实践经验。</w:t>
      </w:r>
    </w:p>
    <w:p w14:paraId="34AF78B3">
      <w:pPr>
        <w:pStyle w:val="29"/>
        <w:numPr>
          <w:ilvl w:val="0"/>
          <w:numId w:val="3"/>
        </w:numPr>
        <w:spacing w:line="360" w:lineRule="auto"/>
        <w:jc w:val="both"/>
      </w:pPr>
      <w:r>
        <w:rPr>
          <w:b/>
          <w:bCs/>
        </w:rPr>
        <w:t>实用性原则</w:t>
      </w:r>
    </w:p>
    <w:p w14:paraId="4AB6391A">
      <w:pPr>
        <w:pStyle w:val="29"/>
        <w:numPr>
          <w:ilvl w:val="1"/>
          <w:numId w:val="2"/>
        </w:numPr>
        <w:spacing w:line="360" w:lineRule="auto"/>
        <w:jc w:val="both"/>
        <w:rPr>
          <w:lang w:eastAsia="zh-CN"/>
        </w:rPr>
      </w:pPr>
      <w:r>
        <w:rPr>
          <w:lang w:eastAsia="zh-CN"/>
        </w:rPr>
        <w:t>标准的制定紧密结合实际应用需求，重点关注解决</w:t>
      </w:r>
      <w:r>
        <w:rPr>
          <w:rFonts w:hint="eastAsia"/>
          <w:lang w:eastAsia="zh-CN"/>
        </w:rPr>
        <w:t>泛在操作系统支持的人机物融合应用</w:t>
      </w:r>
      <w:r>
        <w:rPr>
          <w:lang w:eastAsia="zh-CN"/>
        </w:rPr>
        <w:t>面临的问题，如</w:t>
      </w:r>
      <w:r>
        <w:rPr>
          <w:rFonts w:hint="eastAsia"/>
          <w:lang w:eastAsia="zh-CN"/>
        </w:rPr>
        <w:t>异构资源管理、复杂环境自适应</w:t>
      </w:r>
      <w:r>
        <w:rPr>
          <w:lang w:eastAsia="zh-CN"/>
        </w:rPr>
        <w:t>等。通过规范</w:t>
      </w:r>
      <w:r>
        <w:rPr>
          <w:rFonts w:hint="eastAsia"/>
          <w:lang w:eastAsia="zh-CN"/>
        </w:rPr>
        <w:t>泛在操作系统术语</w:t>
      </w:r>
      <w:r>
        <w:rPr>
          <w:lang w:eastAsia="zh-CN"/>
        </w:rPr>
        <w:t>，</w:t>
      </w:r>
      <w:r>
        <w:rPr>
          <w:rFonts w:hint="eastAsia"/>
          <w:lang w:eastAsia="zh-CN"/>
        </w:rPr>
        <w:t>促进泛在操作系统的构建与技术交流</w:t>
      </w:r>
      <w:r>
        <w:rPr>
          <w:lang w:eastAsia="zh-CN"/>
        </w:rPr>
        <w:t>，为相关企业和机构在</w:t>
      </w:r>
      <w:r>
        <w:rPr>
          <w:rFonts w:hint="eastAsia"/>
          <w:lang w:eastAsia="zh-CN"/>
        </w:rPr>
        <w:t>泛在操作系统</w:t>
      </w:r>
      <w:r>
        <w:rPr>
          <w:lang w:eastAsia="zh-CN"/>
        </w:rPr>
        <w:t>建设方面提供切实可行的技术依据和操作指南。</w:t>
      </w:r>
    </w:p>
    <w:p w14:paraId="4BB97EA0">
      <w:pPr>
        <w:pStyle w:val="29"/>
        <w:numPr>
          <w:ilvl w:val="0"/>
          <w:numId w:val="3"/>
        </w:numPr>
        <w:spacing w:line="360" w:lineRule="auto"/>
        <w:jc w:val="both"/>
      </w:pPr>
      <w:r>
        <w:rPr>
          <w:b/>
          <w:bCs/>
        </w:rPr>
        <w:t>协调性原则</w:t>
      </w:r>
    </w:p>
    <w:p w14:paraId="263B9459">
      <w:pPr>
        <w:pStyle w:val="29"/>
        <w:numPr>
          <w:ilvl w:val="1"/>
          <w:numId w:val="2"/>
        </w:numPr>
        <w:spacing w:line="360" w:lineRule="auto"/>
        <w:jc w:val="both"/>
        <w:rPr>
          <w:lang w:eastAsia="zh-CN"/>
        </w:rPr>
      </w:pPr>
      <w:r>
        <w:rPr>
          <w:lang w:eastAsia="zh-CN"/>
        </w:rPr>
        <w:t>充分考虑与现有国家标准、行业标准以及国际标准的协调性。在制定过程中，对相关标准进行了深入研究，避免与现有标准产生冲突，并尽量采用已有的通用技术术语和定义，确保本标准能够与其他相关标准相互衔接、配套使用。</w:t>
      </w:r>
    </w:p>
    <w:p w14:paraId="56B6D41A">
      <w:pPr>
        <w:pStyle w:val="29"/>
        <w:numPr>
          <w:ilvl w:val="0"/>
          <w:numId w:val="3"/>
        </w:numPr>
        <w:spacing w:line="360" w:lineRule="auto"/>
        <w:jc w:val="both"/>
      </w:pPr>
      <w:r>
        <w:rPr>
          <w:b/>
          <w:bCs/>
        </w:rPr>
        <w:t>前瞻性原则</w:t>
      </w:r>
    </w:p>
    <w:p w14:paraId="3EF3C502">
      <w:pPr>
        <w:pStyle w:val="29"/>
        <w:numPr>
          <w:ilvl w:val="1"/>
          <w:numId w:val="2"/>
        </w:numPr>
        <w:spacing w:line="360" w:lineRule="auto"/>
        <w:jc w:val="both"/>
        <w:rPr>
          <w:lang w:eastAsia="zh-CN"/>
        </w:rPr>
      </w:pPr>
      <w:r>
        <w:rPr>
          <w:lang w:eastAsia="zh-CN"/>
        </w:rPr>
        <w:t>在满足当前</w:t>
      </w:r>
      <w:r>
        <w:rPr>
          <w:rFonts w:hint="eastAsia"/>
          <w:lang w:eastAsia="zh-CN"/>
        </w:rPr>
        <w:t>人机物融合场景</w:t>
      </w:r>
      <w:r>
        <w:rPr>
          <w:lang w:eastAsia="zh-CN"/>
        </w:rPr>
        <w:t>的基础上，适当考虑未来技术发展趋势，为</w:t>
      </w:r>
      <w:r>
        <w:rPr>
          <w:rFonts w:hint="eastAsia"/>
          <w:lang w:eastAsia="zh-CN"/>
        </w:rPr>
        <w:t>新质计算资源及</w:t>
      </w:r>
      <w:r>
        <w:rPr>
          <w:lang w:eastAsia="zh-CN"/>
        </w:rPr>
        <w:t>应用</w:t>
      </w:r>
      <w:r>
        <w:rPr>
          <w:rFonts w:hint="eastAsia"/>
          <w:lang w:eastAsia="zh-CN"/>
        </w:rPr>
        <w:t>需求</w:t>
      </w:r>
      <w:r>
        <w:rPr>
          <w:lang w:eastAsia="zh-CN"/>
        </w:rPr>
        <w:t>拓展预留一定的空间。例如，在</w:t>
      </w:r>
      <w:r>
        <w:rPr>
          <w:rFonts w:hint="eastAsia"/>
          <w:lang w:eastAsia="zh-CN"/>
        </w:rPr>
        <w:t>泛在计算资源</w:t>
      </w:r>
      <w:r>
        <w:rPr>
          <w:lang w:eastAsia="zh-CN"/>
        </w:rPr>
        <w:t>的定义方面，采用了较为</w:t>
      </w:r>
      <w:r>
        <w:rPr>
          <w:rFonts w:hint="eastAsia"/>
          <w:lang w:eastAsia="zh-CN"/>
        </w:rPr>
        <w:t>宽松的定义方式</w:t>
      </w:r>
      <w:r>
        <w:rPr>
          <w:lang w:eastAsia="zh-CN"/>
        </w:rPr>
        <w:t>，以便能够</w:t>
      </w:r>
      <w:r>
        <w:rPr>
          <w:rFonts w:hint="eastAsia"/>
          <w:lang w:eastAsia="zh-CN"/>
        </w:rPr>
        <w:t>接纳</w:t>
      </w:r>
      <w:r>
        <w:rPr>
          <w:lang w:eastAsia="zh-CN"/>
        </w:rPr>
        <w:t>未来可能出现的</w:t>
      </w:r>
      <w:r>
        <w:rPr>
          <w:rFonts w:hint="eastAsia"/>
          <w:lang w:eastAsia="zh-CN"/>
        </w:rPr>
        <w:t>新型硬件设备与计算平台</w:t>
      </w:r>
      <w:r>
        <w:rPr>
          <w:lang w:eastAsia="zh-CN"/>
        </w:rPr>
        <w:t>。</w:t>
      </w:r>
    </w:p>
    <w:bookmarkEnd w:id="14"/>
    <w:p w14:paraId="28D9B638">
      <w:pPr>
        <w:pStyle w:val="5"/>
        <w:spacing w:line="360" w:lineRule="auto"/>
        <w:jc w:val="both"/>
        <w:rPr>
          <w:lang w:eastAsia="zh-CN"/>
        </w:rPr>
      </w:pPr>
      <w:bookmarkStart w:id="15" w:name="二确定标准主要内容的依据"/>
      <w:r>
        <w:rPr>
          <w:lang w:eastAsia="zh-CN"/>
        </w:rPr>
        <w:t>（二）确定标准主要内容的依据</w:t>
      </w:r>
    </w:p>
    <w:p w14:paraId="433049AD">
      <w:pPr>
        <w:pStyle w:val="29"/>
        <w:numPr>
          <w:ilvl w:val="0"/>
          <w:numId w:val="4"/>
        </w:numPr>
        <w:spacing w:line="360" w:lineRule="auto"/>
        <w:jc w:val="both"/>
      </w:pPr>
      <w:r>
        <w:rPr>
          <w:b/>
          <w:bCs/>
        </w:rPr>
        <w:t>技术需求分析</w:t>
      </w:r>
    </w:p>
    <w:p w14:paraId="2E8748B1">
      <w:pPr>
        <w:pStyle w:val="29"/>
        <w:numPr>
          <w:ilvl w:val="1"/>
          <w:numId w:val="2"/>
        </w:numPr>
        <w:spacing w:line="360" w:lineRule="auto"/>
        <w:jc w:val="both"/>
        <w:rPr>
          <w:lang w:eastAsia="zh-CN"/>
        </w:rPr>
      </w:pPr>
      <w:r>
        <w:rPr>
          <w:lang w:eastAsia="zh-CN"/>
        </w:rPr>
        <w:t>通过对</w:t>
      </w:r>
      <w:r>
        <w:rPr>
          <w:rFonts w:hint="eastAsia"/>
          <w:lang w:eastAsia="zh-CN"/>
        </w:rPr>
        <w:t>泛在计算场景和人机物融合应用需求</w:t>
      </w:r>
      <w:r>
        <w:rPr>
          <w:lang w:eastAsia="zh-CN"/>
        </w:rPr>
        <w:t>的分析，明确了</w:t>
      </w:r>
      <w:r>
        <w:rPr>
          <w:rFonts w:hint="eastAsia"/>
          <w:lang w:eastAsia="zh-CN"/>
        </w:rPr>
        <w:t>泛在操作系统</w:t>
      </w:r>
      <w:r>
        <w:rPr>
          <w:lang w:eastAsia="zh-CN"/>
        </w:rPr>
        <w:t>在</w:t>
      </w:r>
      <w:r>
        <w:rPr>
          <w:rFonts w:hint="eastAsia"/>
          <w:lang w:eastAsia="zh-CN"/>
        </w:rPr>
        <w:t>人机物融合泛在计算</w:t>
      </w:r>
      <w:r>
        <w:rPr>
          <w:lang w:eastAsia="zh-CN"/>
        </w:rPr>
        <w:t>中的关键地位和作用。例如，</w:t>
      </w:r>
      <w:r>
        <w:rPr>
          <w:rFonts w:hint="eastAsia"/>
          <w:lang w:eastAsia="zh-CN"/>
        </w:rPr>
        <w:t>异构的计算资源需要泛在操作系统分别进行管理和调度</w:t>
      </w:r>
      <w:r>
        <w:rPr>
          <w:lang w:eastAsia="zh-CN"/>
        </w:rPr>
        <w:t>，而</w:t>
      </w:r>
      <w:r>
        <w:rPr>
          <w:rFonts w:hint="eastAsia"/>
          <w:lang w:eastAsia="zh-CN"/>
        </w:rPr>
        <w:t>上层应用需要简洁统一的资源抽象</w:t>
      </w:r>
      <w:r>
        <w:rPr>
          <w:lang w:eastAsia="zh-CN"/>
        </w:rPr>
        <w:t>，这成为确定标准中</w:t>
      </w:r>
      <w:r>
        <w:rPr>
          <w:rFonts w:hint="eastAsia"/>
          <w:lang w:eastAsia="zh-CN"/>
        </w:rPr>
        <w:t>泛在资源系统</w:t>
      </w:r>
      <w:r>
        <w:rPr>
          <w:lang w:eastAsia="zh-CN"/>
        </w:rPr>
        <w:t>等</w:t>
      </w:r>
      <w:r>
        <w:rPr>
          <w:rFonts w:hint="eastAsia"/>
          <w:lang w:eastAsia="zh-CN"/>
        </w:rPr>
        <w:t>相关术语定义</w:t>
      </w:r>
      <w:r>
        <w:rPr>
          <w:lang w:eastAsia="zh-CN"/>
        </w:rPr>
        <w:t>的重要依据。</w:t>
      </w:r>
    </w:p>
    <w:p w14:paraId="16FC75C9">
      <w:pPr>
        <w:pStyle w:val="29"/>
        <w:numPr>
          <w:ilvl w:val="0"/>
          <w:numId w:val="4"/>
        </w:numPr>
        <w:spacing w:line="360" w:lineRule="auto"/>
        <w:jc w:val="both"/>
      </w:pPr>
      <w:r>
        <w:rPr>
          <w:b/>
          <w:bCs/>
        </w:rPr>
        <w:t>行业最佳实践</w:t>
      </w:r>
    </w:p>
    <w:p w14:paraId="6E3F5E6F">
      <w:pPr>
        <w:pStyle w:val="29"/>
        <w:numPr>
          <w:ilvl w:val="1"/>
          <w:numId w:val="2"/>
        </w:numPr>
        <w:spacing w:line="360" w:lineRule="auto"/>
        <w:jc w:val="both"/>
        <w:rPr>
          <w:lang w:eastAsia="zh-CN"/>
        </w:rPr>
      </w:pPr>
      <w:r>
        <w:rPr>
          <w:lang w:eastAsia="zh-CN"/>
        </w:rPr>
        <w:t>借鉴了行业内在</w:t>
      </w:r>
      <w:r>
        <w:rPr>
          <w:rFonts w:hint="eastAsia"/>
          <w:lang w:eastAsia="zh-CN"/>
        </w:rPr>
        <w:t>物联网、分布式系统等</w:t>
      </w:r>
      <w:r>
        <w:rPr>
          <w:lang w:eastAsia="zh-CN"/>
        </w:rPr>
        <w:t>方面的最佳实践经验。各起草单位在实际工作中积累了丰富的</w:t>
      </w:r>
      <w:r>
        <w:rPr>
          <w:rFonts w:hint="eastAsia"/>
          <w:lang w:eastAsia="zh-CN"/>
        </w:rPr>
        <w:t>人机物融合应用开发</w:t>
      </w:r>
      <w:r>
        <w:rPr>
          <w:lang w:eastAsia="zh-CN"/>
        </w:rPr>
        <w:t>和管理经验，这些经验在标准制定过程中得到了充分体现。</w:t>
      </w:r>
    </w:p>
    <w:p w14:paraId="1016ADEE">
      <w:pPr>
        <w:pStyle w:val="29"/>
        <w:numPr>
          <w:ilvl w:val="0"/>
          <w:numId w:val="4"/>
        </w:numPr>
        <w:spacing w:line="360" w:lineRule="auto"/>
        <w:jc w:val="both"/>
      </w:pPr>
      <w:r>
        <w:rPr>
          <w:b/>
          <w:bCs/>
        </w:rPr>
        <w:t>相关标准参考</w:t>
      </w:r>
    </w:p>
    <w:p w14:paraId="511B42A0">
      <w:pPr>
        <w:pStyle w:val="29"/>
        <w:numPr>
          <w:ilvl w:val="1"/>
          <w:numId w:val="2"/>
        </w:numPr>
        <w:spacing w:line="360" w:lineRule="auto"/>
        <w:jc w:val="both"/>
        <w:rPr>
          <w:lang w:eastAsia="zh-CN"/>
        </w:rPr>
      </w:pPr>
      <w:r>
        <w:rPr>
          <w:lang w:eastAsia="zh-CN"/>
        </w:rPr>
        <w:t>参考了国内外相关的</w:t>
      </w:r>
      <w:r>
        <w:rPr>
          <w:rFonts w:hint="eastAsia"/>
          <w:lang w:eastAsia="zh-CN"/>
        </w:rPr>
        <w:t>传感器网络、人机交互系统等人机物融合场景相关标准、云技算相关标准</w:t>
      </w:r>
      <w:r>
        <w:rPr>
          <w:lang w:eastAsia="zh-CN"/>
        </w:rPr>
        <w:t>以及标准化文件的结构和起草规则等标准。如GB/T 1.1 - 2020《标准化工作导则 第1部分：标准化文件的结构和起草规则》为本标准的结构和起草提供了规范依据；同时，还参考了部分国际网络安全标准中</w:t>
      </w:r>
      <w:r>
        <w:rPr>
          <w:rFonts w:hint="eastAsia"/>
          <w:lang w:val="en-US" w:eastAsia="zh-CN"/>
        </w:rPr>
        <w:t>有</w:t>
      </w:r>
      <w:r>
        <w:rPr>
          <w:lang w:eastAsia="zh-CN"/>
        </w:rPr>
        <w:t>关</w:t>
      </w:r>
      <w:r>
        <w:rPr>
          <w:rFonts w:hint="eastAsia"/>
          <w:lang w:eastAsia="zh-CN"/>
        </w:rPr>
        <w:t>传感器、人机交互设备、云计算</w:t>
      </w:r>
      <w:r>
        <w:rPr>
          <w:lang w:eastAsia="zh-CN"/>
        </w:rPr>
        <w:t>的相关规定，使本标准在内容上与国际标准接轨，提高了标准的通用性和国际认可度。</w:t>
      </w:r>
    </w:p>
    <w:bookmarkEnd w:id="13"/>
    <w:bookmarkEnd w:id="15"/>
    <w:p w14:paraId="1DD7D2B0">
      <w:pPr>
        <w:pStyle w:val="4"/>
        <w:spacing w:line="360" w:lineRule="auto"/>
        <w:jc w:val="both"/>
        <w:rPr>
          <w:lang w:eastAsia="zh-CN"/>
        </w:rPr>
      </w:pPr>
      <w:bookmarkStart w:id="16" w:name="三主要试验或验证的分析综述技术经济论证预期的经济效果"/>
      <w:r>
        <w:rPr>
          <w:lang w:eastAsia="zh-CN"/>
        </w:rPr>
        <w:t>三、主要试验（或验证）的分析、综述，技术经济论证，预期的经济效果</w:t>
      </w:r>
    </w:p>
    <w:p w14:paraId="7F6EB149">
      <w:pPr>
        <w:pStyle w:val="5"/>
        <w:spacing w:line="360" w:lineRule="auto"/>
        <w:jc w:val="both"/>
        <w:rPr>
          <w:lang w:eastAsia="zh-CN"/>
        </w:rPr>
      </w:pPr>
      <w:bookmarkStart w:id="17" w:name="一主要试验或验证的分析综述"/>
      <w:r>
        <w:rPr>
          <w:lang w:eastAsia="zh-CN"/>
        </w:rPr>
        <w:t>（一）主要试验（或验证）的分析、综述</w:t>
      </w:r>
    </w:p>
    <w:p w14:paraId="38F1ADEC">
      <w:pPr>
        <w:pStyle w:val="29"/>
        <w:numPr>
          <w:ilvl w:val="0"/>
          <w:numId w:val="5"/>
        </w:numPr>
        <w:spacing w:line="360" w:lineRule="auto"/>
        <w:jc w:val="both"/>
      </w:pPr>
      <w:r>
        <w:rPr>
          <w:rFonts w:hint="eastAsia"/>
          <w:b/>
          <w:bCs/>
          <w:lang w:eastAsia="zh-CN"/>
        </w:rPr>
        <w:t>术语准确性验证</w:t>
      </w:r>
    </w:p>
    <w:p w14:paraId="726783BE">
      <w:pPr>
        <w:pStyle w:val="29"/>
        <w:numPr>
          <w:ilvl w:val="1"/>
          <w:numId w:val="2"/>
        </w:numPr>
        <w:spacing w:line="360" w:lineRule="auto"/>
        <w:jc w:val="both"/>
        <w:rPr>
          <w:lang w:eastAsia="zh-CN"/>
        </w:rPr>
      </w:pPr>
      <w:r>
        <w:rPr>
          <w:lang w:eastAsia="zh-CN"/>
        </w:rPr>
        <w:t>在标准起草过程中，部分起草单位对</w:t>
      </w:r>
      <w:r>
        <w:rPr>
          <w:rFonts w:hint="eastAsia"/>
          <w:lang w:eastAsia="zh-CN"/>
        </w:rPr>
        <w:t>泛在操作系统术语的准确性</w:t>
      </w:r>
      <w:r>
        <w:rPr>
          <w:lang w:eastAsia="zh-CN"/>
        </w:rPr>
        <w:t>进行了初步的验证。通过构建模拟的</w:t>
      </w:r>
      <w:r>
        <w:rPr>
          <w:rFonts w:hint="eastAsia"/>
          <w:lang w:eastAsia="zh-CN"/>
        </w:rPr>
        <w:t>人机物融合场景</w:t>
      </w:r>
      <w:r>
        <w:rPr>
          <w:lang w:eastAsia="zh-CN"/>
        </w:rPr>
        <w:t>，</w:t>
      </w:r>
      <w:r>
        <w:rPr>
          <w:rFonts w:hint="eastAsia"/>
          <w:lang w:eastAsia="zh-CN"/>
        </w:rPr>
        <w:t>设计和运行人机物融合应用</w:t>
      </w:r>
      <w:r>
        <w:rPr>
          <w:lang w:eastAsia="zh-CN"/>
        </w:rPr>
        <w:t>，对标准中规定的</w:t>
      </w:r>
      <w:r>
        <w:rPr>
          <w:rFonts w:hint="eastAsia"/>
          <w:lang w:eastAsia="zh-CN"/>
        </w:rPr>
        <w:t>泛在操作系统相关术语定义的准确性</w:t>
      </w:r>
      <w:r>
        <w:rPr>
          <w:lang w:eastAsia="zh-CN"/>
        </w:rPr>
        <w:t>进行</w:t>
      </w:r>
      <w:r>
        <w:rPr>
          <w:rFonts w:hint="eastAsia"/>
          <w:lang w:eastAsia="zh-CN"/>
        </w:rPr>
        <w:t>验证</w:t>
      </w:r>
      <w:r>
        <w:rPr>
          <w:lang w:eastAsia="zh-CN"/>
        </w:rPr>
        <w:t>。结果表明，按照标准定义的</w:t>
      </w:r>
      <w:r>
        <w:rPr>
          <w:rFonts w:hint="eastAsia"/>
          <w:lang w:eastAsia="zh-CN"/>
        </w:rPr>
        <w:t>泛在操作系统术语</w:t>
      </w:r>
      <w:r>
        <w:rPr>
          <w:lang w:eastAsia="zh-CN"/>
        </w:rPr>
        <w:t>能够</w:t>
      </w:r>
      <w:r>
        <w:rPr>
          <w:rFonts w:hint="eastAsia"/>
          <w:lang w:eastAsia="zh-CN"/>
        </w:rPr>
        <w:t>准确描述其涉及的泛在资源等对象，并能有效体现资源抽象等功能</w:t>
      </w:r>
      <w:r>
        <w:rPr>
          <w:lang w:eastAsia="zh-CN"/>
        </w:rPr>
        <w:t>。</w:t>
      </w:r>
    </w:p>
    <w:p w14:paraId="5E079B2D">
      <w:pPr>
        <w:pStyle w:val="29"/>
        <w:numPr>
          <w:ilvl w:val="0"/>
          <w:numId w:val="5"/>
        </w:numPr>
        <w:spacing w:line="360" w:lineRule="auto"/>
        <w:jc w:val="both"/>
      </w:pPr>
      <w:r>
        <w:rPr>
          <w:rFonts w:hint="eastAsia"/>
          <w:b/>
          <w:bCs/>
          <w:lang w:eastAsia="zh-CN"/>
        </w:rPr>
        <w:t>术语全面性验证</w:t>
      </w:r>
    </w:p>
    <w:p w14:paraId="64D8FFD6">
      <w:pPr>
        <w:pStyle w:val="29"/>
        <w:numPr>
          <w:ilvl w:val="1"/>
          <w:numId w:val="2"/>
        </w:numPr>
        <w:spacing w:line="360" w:lineRule="auto"/>
        <w:jc w:val="both"/>
        <w:rPr>
          <w:lang w:eastAsia="zh-CN"/>
        </w:rPr>
      </w:pPr>
      <w:r>
        <w:rPr>
          <w:rFonts w:hint="eastAsia"/>
          <w:lang w:eastAsia="zh-CN"/>
        </w:rPr>
        <w:t>为验证标准描述的术语可以覆盖泛在操作系统涉及的对象和功能，起草单位</w:t>
      </w:r>
      <w:r>
        <w:rPr>
          <w:lang w:eastAsia="zh-CN"/>
        </w:rPr>
        <w:t>模拟</w:t>
      </w:r>
      <w:r>
        <w:rPr>
          <w:rFonts w:hint="eastAsia"/>
          <w:lang w:eastAsia="zh-CN"/>
        </w:rPr>
        <w:t>了多种人机物融合场景，并设计、运行了不同类型的人机物融合应用</w:t>
      </w:r>
      <w:r>
        <w:rPr>
          <w:lang w:eastAsia="zh-CN"/>
        </w:rPr>
        <w:t>进行</w:t>
      </w:r>
      <w:r>
        <w:rPr>
          <w:rFonts w:hint="eastAsia"/>
          <w:lang w:eastAsia="zh-CN"/>
        </w:rPr>
        <w:t>验证</w:t>
      </w:r>
      <w:r>
        <w:rPr>
          <w:lang w:eastAsia="zh-CN"/>
        </w:rPr>
        <w:t>。结果表明，按照标准定义的</w:t>
      </w:r>
      <w:r>
        <w:rPr>
          <w:rFonts w:hint="eastAsia"/>
          <w:lang w:eastAsia="zh-CN"/>
        </w:rPr>
        <w:t>泛在操作系统术语</w:t>
      </w:r>
      <w:r>
        <w:rPr>
          <w:lang w:eastAsia="zh-CN"/>
        </w:rPr>
        <w:t>能够</w:t>
      </w:r>
      <w:r>
        <w:rPr>
          <w:rFonts w:hint="eastAsia"/>
          <w:lang w:eastAsia="zh-CN"/>
        </w:rPr>
        <w:t>覆盖其涉及的所有对象，并有效体现资源抽象等核心功能</w:t>
      </w:r>
      <w:r>
        <w:rPr>
          <w:lang w:eastAsia="zh-CN"/>
        </w:rPr>
        <w:t>。</w:t>
      </w:r>
    </w:p>
    <w:p w14:paraId="458395CB">
      <w:pPr>
        <w:pStyle w:val="29"/>
        <w:numPr>
          <w:ilvl w:val="1"/>
          <w:numId w:val="2"/>
        </w:numPr>
        <w:spacing w:line="360" w:lineRule="auto"/>
        <w:jc w:val="both"/>
        <w:rPr>
          <w:lang w:eastAsia="zh-CN"/>
        </w:rPr>
      </w:pPr>
      <w:r>
        <w:rPr>
          <w:lang w:eastAsia="zh-CN"/>
        </w:rPr>
        <w:t>在验证过程中，发现了</w:t>
      </w:r>
      <w:r>
        <w:rPr>
          <w:rFonts w:hint="eastAsia"/>
          <w:lang w:eastAsia="zh-CN"/>
        </w:rPr>
        <w:t>部分术语描述存在覆盖不足的问题</w:t>
      </w:r>
      <w:r>
        <w:rPr>
          <w:lang w:eastAsia="zh-CN"/>
        </w:rPr>
        <w:t>，</w:t>
      </w:r>
      <w:r>
        <w:rPr>
          <w:rFonts w:hint="eastAsia"/>
          <w:lang w:eastAsia="zh-CN"/>
        </w:rPr>
        <w:t>例如，部分泛在操作系统涉及的对象未能配备相应的术语</w:t>
      </w:r>
      <w:r>
        <w:rPr>
          <w:lang w:eastAsia="zh-CN"/>
        </w:rPr>
        <w:t>。针对这些问题，起草小组对标准中的</w:t>
      </w:r>
      <w:r>
        <w:rPr>
          <w:rFonts w:hint="eastAsia"/>
          <w:lang w:eastAsia="zh-CN"/>
        </w:rPr>
        <w:t>术语定义进行了</w:t>
      </w:r>
      <w:r>
        <w:rPr>
          <w:lang w:eastAsia="zh-CN"/>
        </w:rPr>
        <w:t>优化调整，</w:t>
      </w:r>
      <w:r>
        <w:rPr>
          <w:rFonts w:hint="eastAsia"/>
          <w:lang w:eastAsia="zh-CN"/>
        </w:rPr>
        <w:t>并补充了缺失对象对应的术语，从而</w:t>
      </w:r>
      <w:r>
        <w:rPr>
          <w:lang w:eastAsia="zh-CN"/>
        </w:rPr>
        <w:t>提高</w:t>
      </w:r>
      <w:r>
        <w:rPr>
          <w:rFonts w:hint="eastAsia"/>
          <w:lang w:eastAsia="zh-CN"/>
        </w:rPr>
        <w:t>整体术语体系</w:t>
      </w:r>
      <w:r>
        <w:rPr>
          <w:lang w:eastAsia="zh-CN"/>
        </w:rPr>
        <w:t>的</w:t>
      </w:r>
      <w:r>
        <w:rPr>
          <w:rFonts w:hint="eastAsia"/>
          <w:lang w:eastAsia="zh-CN"/>
        </w:rPr>
        <w:t>准确性和全面性。</w:t>
      </w:r>
    </w:p>
    <w:bookmarkEnd w:id="17"/>
    <w:p w14:paraId="688ED9D2">
      <w:pPr>
        <w:pStyle w:val="5"/>
        <w:spacing w:line="360" w:lineRule="auto"/>
        <w:jc w:val="both"/>
      </w:pPr>
      <w:bookmarkStart w:id="18" w:name="二技术经济论证"/>
      <w:r>
        <w:t>（二）技术经济论证</w:t>
      </w:r>
    </w:p>
    <w:p w14:paraId="4B474207">
      <w:pPr>
        <w:pStyle w:val="29"/>
        <w:numPr>
          <w:ilvl w:val="0"/>
          <w:numId w:val="6"/>
        </w:numPr>
        <w:spacing w:line="360" w:lineRule="auto"/>
        <w:jc w:val="both"/>
      </w:pPr>
      <w:r>
        <w:rPr>
          <w:b/>
          <w:bCs/>
        </w:rPr>
        <w:t>技术可行性</w:t>
      </w:r>
    </w:p>
    <w:p w14:paraId="07BCE03C">
      <w:pPr>
        <w:pStyle w:val="29"/>
        <w:numPr>
          <w:ilvl w:val="1"/>
          <w:numId w:val="2"/>
        </w:numPr>
        <w:spacing w:line="360" w:lineRule="auto"/>
        <w:jc w:val="both"/>
        <w:rPr>
          <w:lang w:eastAsia="zh-CN"/>
        </w:rPr>
      </w:pPr>
      <w:r>
        <w:rPr>
          <w:lang w:eastAsia="zh-CN"/>
        </w:rPr>
        <w:t>从技术角度来看，本标准所涉及的</w:t>
      </w:r>
      <w:r>
        <w:rPr>
          <w:rFonts w:hint="eastAsia"/>
          <w:lang w:eastAsia="zh-CN"/>
        </w:rPr>
        <w:t>泛在操作系统术语</w:t>
      </w:r>
      <w:r>
        <w:rPr>
          <w:lang w:eastAsia="zh-CN"/>
        </w:rPr>
        <w:t>是在充分调研和试验验证的基础上制定的。起草单位具备丰富的</w:t>
      </w:r>
      <w:r>
        <w:rPr>
          <w:rFonts w:hint="eastAsia"/>
          <w:lang w:eastAsia="zh-CN"/>
        </w:rPr>
        <w:t>人机物融合泛在计算应用开发和部署</w:t>
      </w:r>
      <w:r>
        <w:rPr>
          <w:lang w:eastAsia="zh-CN"/>
        </w:rPr>
        <w:t>经验，在标准起草过程中充分考虑了当前的</w:t>
      </w:r>
      <w:r>
        <w:rPr>
          <w:rFonts w:hint="eastAsia"/>
          <w:lang w:eastAsia="zh-CN"/>
        </w:rPr>
        <w:t>先进软硬件技术</w:t>
      </w:r>
      <w:r>
        <w:rPr>
          <w:lang w:eastAsia="zh-CN"/>
        </w:rPr>
        <w:t>发展水平</w:t>
      </w:r>
      <w:r>
        <w:rPr>
          <w:rFonts w:hint="eastAsia"/>
          <w:lang w:eastAsia="zh-CN"/>
        </w:rPr>
        <w:t>、遗留系统状态</w:t>
      </w:r>
      <w:r>
        <w:rPr>
          <w:lang w:eastAsia="zh-CN"/>
        </w:rPr>
        <w:t>和实际应用需求。通过对</w:t>
      </w:r>
      <w:r>
        <w:rPr>
          <w:rFonts w:hint="eastAsia"/>
          <w:lang w:eastAsia="zh-CN"/>
        </w:rPr>
        <w:t>术语体系准确性、完备性</w:t>
      </w:r>
      <w:r>
        <w:rPr>
          <w:lang w:eastAsia="zh-CN"/>
        </w:rPr>
        <w:t>等方面的验证，证明了标准内容在技术上是可行的，能够</w:t>
      </w:r>
      <w:r>
        <w:rPr>
          <w:rFonts w:hint="eastAsia"/>
          <w:lang w:eastAsia="zh-CN"/>
        </w:rPr>
        <w:t>深化对泛在操作系统的理解，促进其他泛在操作系统的标准制定以及泛在操作系统之间的技术交流</w:t>
      </w:r>
      <w:r>
        <w:rPr>
          <w:lang w:eastAsia="zh-CN"/>
        </w:rPr>
        <w:t>。</w:t>
      </w:r>
    </w:p>
    <w:p w14:paraId="73F32187">
      <w:pPr>
        <w:pStyle w:val="29"/>
        <w:numPr>
          <w:ilvl w:val="0"/>
          <w:numId w:val="6"/>
        </w:numPr>
        <w:spacing w:line="360" w:lineRule="auto"/>
        <w:jc w:val="both"/>
      </w:pPr>
      <w:r>
        <w:rPr>
          <w:b/>
          <w:bCs/>
        </w:rPr>
        <w:t>经济合理性</w:t>
      </w:r>
    </w:p>
    <w:p w14:paraId="515A4009">
      <w:pPr>
        <w:pStyle w:val="29"/>
        <w:numPr>
          <w:ilvl w:val="1"/>
          <w:numId w:val="2"/>
        </w:numPr>
        <w:spacing w:line="360" w:lineRule="auto"/>
        <w:jc w:val="both"/>
        <w:rPr>
          <w:lang w:eastAsia="zh-CN"/>
        </w:rPr>
      </w:pPr>
      <w:r>
        <w:rPr>
          <w:lang w:eastAsia="zh-CN"/>
        </w:rPr>
        <w:t>在经济方面，本标准的实施将有助于降低</w:t>
      </w:r>
      <w:r>
        <w:rPr>
          <w:rFonts w:hint="eastAsia"/>
          <w:lang w:eastAsia="zh-CN"/>
        </w:rPr>
        <w:t>泛在操作系统开发</w:t>
      </w:r>
      <w:r>
        <w:rPr>
          <w:lang w:eastAsia="zh-CN"/>
        </w:rPr>
        <w:t>的成本。通过实现</w:t>
      </w:r>
      <w:r>
        <w:rPr>
          <w:rFonts w:hint="eastAsia"/>
          <w:lang w:eastAsia="zh-CN"/>
        </w:rPr>
        <w:t>泛在操作系统术语</w:t>
      </w:r>
      <w:r>
        <w:rPr>
          <w:lang w:eastAsia="zh-CN"/>
        </w:rPr>
        <w:t>的标准化，能够减少不同平台</w:t>
      </w:r>
      <w:r>
        <w:rPr>
          <w:rFonts w:hint="eastAsia"/>
          <w:lang w:eastAsia="zh-CN"/>
        </w:rPr>
        <w:t>、不同需求的泛在操作系统</w:t>
      </w:r>
      <w:r>
        <w:rPr>
          <w:lang w:eastAsia="zh-CN"/>
        </w:rPr>
        <w:t>之间的</w:t>
      </w:r>
      <w:r>
        <w:rPr>
          <w:rFonts w:hint="eastAsia"/>
          <w:lang w:eastAsia="zh-CN"/>
        </w:rPr>
        <w:t>技术交流等</w:t>
      </w:r>
      <w:r>
        <w:rPr>
          <w:lang w:eastAsia="zh-CN"/>
        </w:rPr>
        <w:t>问题，提高</w:t>
      </w:r>
      <w:r>
        <w:rPr>
          <w:rFonts w:hint="eastAsia"/>
          <w:lang w:eastAsia="zh-CN"/>
        </w:rPr>
        <w:t>功能模块间</w:t>
      </w:r>
      <w:r>
        <w:rPr>
          <w:lang w:eastAsia="zh-CN"/>
        </w:rPr>
        <w:t>的复用性，降低开发和维护成本。例如，企业在</w:t>
      </w:r>
      <w:r>
        <w:rPr>
          <w:rFonts w:hint="eastAsia"/>
          <w:lang w:eastAsia="zh-CN"/>
        </w:rPr>
        <w:t>面向新型平台建设泛在操作系统</w:t>
      </w:r>
      <w:r>
        <w:rPr>
          <w:lang w:eastAsia="zh-CN"/>
        </w:rPr>
        <w:t>时，无需针对</w:t>
      </w:r>
      <w:r>
        <w:rPr>
          <w:rFonts w:hint="eastAsia"/>
          <w:lang w:eastAsia="zh-CN"/>
        </w:rPr>
        <w:t>既有</w:t>
      </w:r>
      <w:r>
        <w:rPr>
          <w:lang w:eastAsia="zh-CN"/>
        </w:rPr>
        <w:t>的硬件和软件平台重新</w:t>
      </w:r>
      <w:r>
        <w:rPr>
          <w:rFonts w:hint="eastAsia"/>
          <w:lang w:eastAsia="zh-CN"/>
        </w:rPr>
        <w:t>实现管理和控制功能</w:t>
      </w:r>
      <w:r>
        <w:rPr>
          <w:lang w:eastAsia="zh-CN"/>
        </w:rPr>
        <w:t>，可直接</w:t>
      </w:r>
      <w:r>
        <w:rPr>
          <w:rFonts w:hint="eastAsia"/>
          <w:lang w:eastAsia="zh-CN"/>
        </w:rPr>
        <w:t>复用基于</w:t>
      </w:r>
      <w:r>
        <w:rPr>
          <w:lang w:eastAsia="zh-CN"/>
        </w:rPr>
        <w:t>本标准</w:t>
      </w:r>
      <w:r>
        <w:rPr>
          <w:rFonts w:hint="eastAsia"/>
          <w:lang w:eastAsia="zh-CN"/>
        </w:rPr>
        <w:t>描述的其他泛在操作系统的相应功能</w:t>
      </w:r>
      <w:r>
        <w:rPr>
          <w:lang w:eastAsia="zh-CN"/>
        </w:rPr>
        <w:t>，从而节省大量的人力、物力和财力资源。</w:t>
      </w:r>
    </w:p>
    <w:bookmarkEnd w:id="18"/>
    <w:p w14:paraId="0E578D30">
      <w:pPr>
        <w:pStyle w:val="5"/>
        <w:spacing w:line="360" w:lineRule="auto"/>
        <w:jc w:val="both"/>
      </w:pPr>
      <w:bookmarkStart w:id="19" w:name="三预期的经济效果"/>
      <w:r>
        <w:t>（三）预期的经济效果</w:t>
      </w:r>
    </w:p>
    <w:p w14:paraId="4FD01DD6">
      <w:pPr>
        <w:pStyle w:val="29"/>
        <w:numPr>
          <w:ilvl w:val="0"/>
          <w:numId w:val="7"/>
        </w:numPr>
        <w:spacing w:line="360" w:lineRule="auto"/>
        <w:jc w:val="both"/>
      </w:pPr>
      <w:r>
        <w:rPr>
          <w:b/>
          <w:bCs/>
        </w:rPr>
        <w:t>提高产业竞争力</w:t>
      </w:r>
    </w:p>
    <w:p w14:paraId="7E158BCE">
      <w:pPr>
        <w:pStyle w:val="29"/>
        <w:numPr>
          <w:ilvl w:val="1"/>
          <w:numId w:val="2"/>
        </w:numPr>
        <w:spacing w:line="360" w:lineRule="auto"/>
        <w:jc w:val="both"/>
        <w:rPr>
          <w:lang w:eastAsia="zh-CN"/>
        </w:rPr>
      </w:pPr>
      <w:r>
        <w:rPr>
          <w:lang w:eastAsia="zh-CN"/>
        </w:rPr>
        <w:t>本标准的发布实施将有助于提升</w:t>
      </w:r>
      <w:r>
        <w:rPr>
          <w:rFonts w:hint="eastAsia"/>
          <w:lang w:eastAsia="zh-CN"/>
        </w:rPr>
        <w:t>泛在操作系统的建设与推广</w:t>
      </w:r>
      <w:r>
        <w:rPr>
          <w:lang w:eastAsia="zh-CN"/>
        </w:rPr>
        <w:t>。</w:t>
      </w:r>
      <w:r>
        <w:rPr>
          <w:rFonts w:hint="eastAsia"/>
          <w:lang w:eastAsia="zh-CN"/>
        </w:rPr>
        <w:t>泛在操作系统术语</w:t>
      </w:r>
      <w:r>
        <w:rPr>
          <w:lang w:eastAsia="zh-CN"/>
        </w:rPr>
        <w:t>的统一将促进</w:t>
      </w:r>
      <w:r>
        <w:rPr>
          <w:rFonts w:hint="eastAsia"/>
          <w:lang w:eastAsia="zh-CN"/>
        </w:rPr>
        <w:t>各类泛在操作系统</w:t>
      </w:r>
      <w:r>
        <w:rPr>
          <w:lang w:eastAsia="zh-CN"/>
        </w:rPr>
        <w:t>的</w:t>
      </w:r>
      <w:r>
        <w:rPr>
          <w:rFonts w:hint="eastAsia"/>
          <w:lang w:eastAsia="zh-CN"/>
        </w:rPr>
        <w:t>技术交流与</w:t>
      </w:r>
      <w:r>
        <w:rPr>
          <w:lang w:eastAsia="zh-CN"/>
        </w:rPr>
        <w:t>协同发展，</w:t>
      </w:r>
      <w:r>
        <w:rPr>
          <w:rFonts w:hint="eastAsia"/>
          <w:lang w:eastAsia="zh-CN"/>
        </w:rPr>
        <w:t>降低泛在操作系统学习和应用开发门槛，</w:t>
      </w:r>
      <w:r>
        <w:rPr>
          <w:lang w:eastAsia="zh-CN"/>
        </w:rPr>
        <w:t>提高产品的兼容性和互操作性，有利于企业扩大市场份额，增强在国内外市场的竞争力。</w:t>
      </w:r>
    </w:p>
    <w:p w14:paraId="1BA161B6">
      <w:pPr>
        <w:pStyle w:val="29"/>
        <w:numPr>
          <w:ilvl w:val="0"/>
          <w:numId w:val="7"/>
        </w:numPr>
        <w:spacing w:line="360" w:lineRule="auto"/>
        <w:jc w:val="both"/>
      </w:pPr>
      <w:r>
        <w:rPr>
          <w:b/>
          <w:bCs/>
        </w:rPr>
        <w:t>推动行业发展</w:t>
      </w:r>
    </w:p>
    <w:p w14:paraId="192E50F8">
      <w:pPr>
        <w:pStyle w:val="29"/>
        <w:numPr>
          <w:ilvl w:val="1"/>
          <w:numId w:val="2"/>
        </w:numPr>
        <w:spacing w:line="360" w:lineRule="auto"/>
        <w:jc w:val="both"/>
        <w:rPr>
          <w:lang w:eastAsia="zh-CN"/>
        </w:rPr>
      </w:pPr>
      <w:r>
        <w:rPr>
          <w:lang w:eastAsia="zh-CN"/>
        </w:rPr>
        <w:t>预期本标准将对</w:t>
      </w:r>
      <w:r>
        <w:rPr>
          <w:rFonts w:hint="eastAsia"/>
          <w:lang w:eastAsia="zh-CN"/>
        </w:rPr>
        <w:t>泛在操作系统和人机物融合应用</w:t>
      </w:r>
      <w:r>
        <w:rPr>
          <w:lang w:eastAsia="zh-CN"/>
        </w:rPr>
        <w:t>的发展产生积极的推动作用。通过规范</w:t>
      </w:r>
      <w:r>
        <w:rPr>
          <w:rFonts w:hint="eastAsia"/>
          <w:lang w:eastAsia="zh-CN"/>
        </w:rPr>
        <w:t>的泛在操作系统术语</w:t>
      </w:r>
      <w:r>
        <w:rPr>
          <w:lang w:eastAsia="zh-CN"/>
        </w:rPr>
        <w:t>，将吸引更多的企业和机构投入到</w:t>
      </w:r>
      <w:r>
        <w:rPr>
          <w:rFonts w:hint="eastAsia"/>
          <w:lang w:eastAsia="zh-CN"/>
        </w:rPr>
        <w:t>不同形态的泛在操作系统</w:t>
      </w:r>
      <w:r>
        <w:rPr>
          <w:lang w:eastAsia="zh-CN"/>
        </w:rPr>
        <w:t>的研发和应用中，促进技术创新和产业升级，推动整个行业朝着更加规范化、标准化的方向发展。</w:t>
      </w:r>
    </w:p>
    <w:p w14:paraId="20E5095F">
      <w:pPr>
        <w:pStyle w:val="29"/>
        <w:numPr>
          <w:ilvl w:val="0"/>
          <w:numId w:val="7"/>
        </w:numPr>
        <w:spacing w:line="360" w:lineRule="auto"/>
        <w:jc w:val="both"/>
      </w:pPr>
      <w:r>
        <w:rPr>
          <w:b/>
          <w:bCs/>
        </w:rPr>
        <w:t>降低社会成本</w:t>
      </w:r>
    </w:p>
    <w:p w14:paraId="0DA53BBC">
      <w:pPr>
        <w:pStyle w:val="29"/>
        <w:numPr>
          <w:ilvl w:val="1"/>
          <w:numId w:val="2"/>
        </w:numPr>
        <w:spacing w:line="360" w:lineRule="auto"/>
        <w:jc w:val="both"/>
        <w:rPr>
          <w:lang w:eastAsia="zh-CN"/>
        </w:rPr>
      </w:pPr>
      <w:r>
        <w:rPr>
          <w:lang w:eastAsia="zh-CN"/>
        </w:rPr>
        <w:t>在社会层面，本标准的实施将有助于降低整个社会在</w:t>
      </w:r>
      <w:r>
        <w:rPr>
          <w:rFonts w:hint="eastAsia"/>
          <w:lang w:eastAsia="zh-CN"/>
        </w:rPr>
        <w:t>人机物融合应用开发方面</w:t>
      </w:r>
      <w:r>
        <w:rPr>
          <w:lang w:eastAsia="zh-CN"/>
        </w:rPr>
        <w:t>的成本。随着不同企业和机构按照标准建设</w:t>
      </w:r>
      <w:r>
        <w:rPr>
          <w:rFonts w:hint="eastAsia"/>
          <w:lang w:eastAsia="zh-CN"/>
        </w:rPr>
        <w:t>适用于不同场景的泛在操作</w:t>
      </w:r>
      <w:r>
        <w:rPr>
          <w:lang w:eastAsia="zh-CN"/>
        </w:rPr>
        <w:t>系统，</w:t>
      </w:r>
      <w:r>
        <w:rPr>
          <w:rFonts w:hint="eastAsia"/>
          <w:lang w:eastAsia="zh-CN"/>
        </w:rPr>
        <w:t>本标准</w:t>
      </w:r>
      <w:r>
        <w:rPr>
          <w:lang w:eastAsia="zh-CN"/>
        </w:rPr>
        <w:t>将减少因</w:t>
      </w:r>
      <w:r>
        <w:rPr>
          <w:rFonts w:hint="eastAsia"/>
          <w:lang w:eastAsia="zh-CN"/>
        </w:rPr>
        <w:t>术语</w:t>
      </w:r>
      <w:r>
        <w:rPr>
          <w:lang w:eastAsia="zh-CN"/>
        </w:rPr>
        <w:t>不统一而导致的重复开发和资源浪费现象，提高</w:t>
      </w:r>
      <w:r>
        <w:rPr>
          <w:rFonts w:hint="eastAsia"/>
          <w:lang w:eastAsia="zh-CN"/>
        </w:rPr>
        <w:t>功能组件</w:t>
      </w:r>
      <w:r>
        <w:rPr>
          <w:lang w:eastAsia="zh-CN"/>
        </w:rPr>
        <w:t>的利用效率，</w:t>
      </w:r>
      <w:r>
        <w:rPr>
          <w:rFonts w:hint="eastAsia"/>
          <w:lang w:eastAsia="zh-CN"/>
        </w:rPr>
        <w:t>简化人机物融合应用的开发部署流程，</w:t>
      </w:r>
      <w:r>
        <w:rPr>
          <w:lang w:eastAsia="zh-CN"/>
        </w:rPr>
        <w:t>为社会节约大量的经济成本。</w:t>
      </w:r>
    </w:p>
    <w:bookmarkEnd w:id="16"/>
    <w:bookmarkEnd w:id="19"/>
    <w:p w14:paraId="16F153F2">
      <w:pPr>
        <w:pStyle w:val="4"/>
        <w:spacing w:line="360" w:lineRule="auto"/>
        <w:jc w:val="both"/>
        <w:rPr>
          <w:lang w:eastAsia="zh-CN"/>
        </w:rPr>
      </w:pPr>
      <w:bookmarkStart w:id="20" w:name="四采用国际标准和国外先进标准的程度以及与国际国内同类标准水平的对比情况"/>
      <w:r>
        <w:rPr>
          <w:lang w:eastAsia="zh-CN"/>
        </w:rPr>
        <w:t>四、采用国际标准和国外先进标准的程度，以及与国际、国内同类标准水平的对比情况</w:t>
      </w:r>
    </w:p>
    <w:p w14:paraId="432E2AAE">
      <w:pPr>
        <w:pStyle w:val="5"/>
        <w:spacing w:line="360" w:lineRule="auto"/>
        <w:jc w:val="both"/>
        <w:rPr>
          <w:lang w:eastAsia="zh-CN"/>
        </w:rPr>
      </w:pPr>
      <w:bookmarkStart w:id="21" w:name="一采用国际标准和国外先进标准的程度"/>
      <w:r>
        <w:rPr>
          <w:lang w:eastAsia="zh-CN"/>
        </w:rPr>
        <w:t>（一）采用国际标准和国外先进标准的程度</w:t>
      </w:r>
    </w:p>
    <w:p w14:paraId="5D281ECA">
      <w:pPr>
        <w:pStyle w:val="28"/>
        <w:spacing w:line="360" w:lineRule="auto"/>
        <w:ind w:firstLine="480" w:firstLineChars="200"/>
        <w:jc w:val="both"/>
        <w:rPr>
          <w:lang w:eastAsia="zh-CN"/>
        </w:rPr>
      </w:pPr>
      <w:r>
        <w:rPr>
          <w:lang w:eastAsia="zh-CN"/>
        </w:rPr>
        <w:t>在本标准起草过程中，对国际标准和国外先进标准进行了广泛的研究和参考。虽然目前尚未直接采用某一特定的国际标准或国外先进标准，但在标准的技术内容方面，借鉴了国际上</w:t>
      </w:r>
      <w:r>
        <w:rPr>
          <w:rFonts w:hint="eastAsia"/>
          <w:lang w:eastAsia="zh-CN"/>
        </w:rPr>
        <w:t>与物联网、传感器网络、人机交互系统等</w:t>
      </w:r>
      <w:r>
        <w:rPr>
          <w:lang w:eastAsia="zh-CN"/>
        </w:rPr>
        <w:t>相关的先进理念和技术方法。例如，在</w:t>
      </w:r>
      <w:r>
        <w:rPr>
          <w:rFonts w:hint="eastAsia"/>
          <w:lang w:eastAsia="zh-CN"/>
        </w:rPr>
        <w:t>泛在资源相关术语</w:t>
      </w:r>
      <w:r>
        <w:rPr>
          <w:lang w:eastAsia="zh-CN"/>
        </w:rPr>
        <w:t>的</w:t>
      </w:r>
      <w:r>
        <w:rPr>
          <w:rFonts w:hint="eastAsia"/>
          <w:lang w:eastAsia="zh-CN"/>
        </w:rPr>
        <w:t>定义等</w:t>
      </w:r>
      <w:r>
        <w:rPr>
          <w:lang w:eastAsia="zh-CN"/>
        </w:rPr>
        <w:t>方面，</w:t>
      </w:r>
      <w:r>
        <w:rPr>
          <w:rFonts w:hint="eastAsia"/>
          <w:lang w:eastAsia="zh-CN"/>
        </w:rPr>
        <w:t>综合</w:t>
      </w:r>
      <w:r>
        <w:rPr>
          <w:lang w:eastAsia="zh-CN"/>
        </w:rPr>
        <w:t>参考了国</w:t>
      </w:r>
      <w:r>
        <w:rPr>
          <w:rFonts w:hint="eastAsia"/>
          <w:lang w:eastAsia="zh-CN"/>
        </w:rPr>
        <w:t>内国</w:t>
      </w:r>
      <w:r>
        <w:rPr>
          <w:lang w:eastAsia="zh-CN"/>
        </w:rPr>
        <w:t>际标准中</w:t>
      </w:r>
      <w:r>
        <w:rPr>
          <w:rFonts w:hint="eastAsia"/>
          <w:lang w:eastAsia="zh-CN"/>
        </w:rPr>
        <w:t>关于传感器、人机交互设备、云计算等相关术语的定义</w:t>
      </w:r>
      <w:r>
        <w:rPr>
          <w:lang w:eastAsia="zh-CN"/>
        </w:rPr>
        <w:t>，以确保本标准在技术水平上与国际接轨。</w:t>
      </w:r>
    </w:p>
    <w:bookmarkEnd w:id="21"/>
    <w:p w14:paraId="67321375">
      <w:pPr>
        <w:pStyle w:val="5"/>
        <w:spacing w:line="360" w:lineRule="auto"/>
        <w:jc w:val="both"/>
        <w:rPr>
          <w:lang w:eastAsia="zh-CN"/>
        </w:rPr>
      </w:pPr>
      <w:bookmarkStart w:id="22" w:name="二与国际国内同类标准水平的对比情况"/>
      <w:r>
        <w:rPr>
          <w:lang w:eastAsia="zh-CN"/>
        </w:rPr>
        <w:t>（二）与国际、国内同类标准水平的对比情况</w:t>
      </w:r>
    </w:p>
    <w:p w14:paraId="072154D0">
      <w:pPr>
        <w:pStyle w:val="29"/>
        <w:numPr>
          <w:ilvl w:val="0"/>
          <w:numId w:val="8"/>
        </w:numPr>
        <w:spacing w:line="360" w:lineRule="auto"/>
        <w:jc w:val="both"/>
      </w:pPr>
      <w:r>
        <w:rPr>
          <w:b/>
          <w:bCs/>
        </w:rPr>
        <w:t>与国际同类标准对比</w:t>
      </w:r>
    </w:p>
    <w:p w14:paraId="24BF52DB">
      <w:pPr>
        <w:pStyle w:val="29"/>
        <w:numPr>
          <w:ilvl w:val="1"/>
          <w:numId w:val="2"/>
        </w:numPr>
        <w:spacing w:line="360" w:lineRule="auto"/>
        <w:jc w:val="both"/>
        <w:rPr>
          <w:lang w:eastAsia="zh-CN"/>
        </w:rPr>
      </w:pPr>
      <w:r>
        <w:rPr>
          <w:lang w:eastAsia="zh-CN"/>
        </w:rPr>
        <w:t>在国际上，虽然有一些关于</w:t>
      </w:r>
      <w:r>
        <w:rPr>
          <w:rFonts w:hint="eastAsia"/>
          <w:lang w:eastAsia="zh-CN"/>
        </w:rPr>
        <w:t>物联网、人机交互</w:t>
      </w:r>
      <w:r>
        <w:rPr>
          <w:lang w:eastAsia="zh-CN"/>
        </w:rPr>
        <w:t>方面的标准，但专门针对</w:t>
      </w:r>
      <w:r>
        <w:rPr>
          <w:rFonts w:hint="eastAsia"/>
          <w:lang w:eastAsia="zh-CN"/>
        </w:rPr>
        <w:t>人机物融合场景下的泛在操作系统术语</w:t>
      </w:r>
      <w:r>
        <w:rPr>
          <w:lang w:eastAsia="zh-CN"/>
        </w:rPr>
        <w:t>标准尚未发现。本标准在结合</w:t>
      </w:r>
      <w:r>
        <w:rPr>
          <w:rFonts w:hint="eastAsia"/>
          <w:lang w:eastAsia="zh-CN"/>
        </w:rPr>
        <w:t>现有软硬件技术及应用需求</w:t>
      </w:r>
      <w:r>
        <w:rPr>
          <w:lang w:eastAsia="zh-CN"/>
        </w:rPr>
        <w:t>的基础上，对</w:t>
      </w:r>
      <w:r>
        <w:rPr>
          <w:rFonts w:hint="eastAsia"/>
          <w:lang w:eastAsia="zh-CN"/>
        </w:rPr>
        <w:t>泛在操作系统相关术语</w:t>
      </w:r>
      <w:r>
        <w:rPr>
          <w:lang w:eastAsia="zh-CN"/>
        </w:rPr>
        <w:t>进行了全面、系统的规范，在一定程度上填补了国际上在这一领域的空白。</w:t>
      </w:r>
    </w:p>
    <w:p w14:paraId="5ADA643D">
      <w:pPr>
        <w:pStyle w:val="29"/>
        <w:numPr>
          <w:ilvl w:val="0"/>
          <w:numId w:val="8"/>
        </w:numPr>
        <w:spacing w:line="360" w:lineRule="auto"/>
        <w:jc w:val="both"/>
      </w:pPr>
      <w:r>
        <w:rPr>
          <w:b/>
          <w:bCs/>
        </w:rPr>
        <w:t>与国内同类标准对比</w:t>
      </w:r>
    </w:p>
    <w:p w14:paraId="07445959">
      <w:pPr>
        <w:pStyle w:val="29"/>
        <w:numPr>
          <w:ilvl w:val="1"/>
          <w:numId w:val="2"/>
        </w:numPr>
        <w:spacing w:line="360" w:lineRule="auto"/>
        <w:jc w:val="both"/>
        <w:rPr>
          <w:lang w:eastAsia="zh-CN"/>
        </w:rPr>
      </w:pPr>
      <w:r>
        <w:rPr>
          <w:lang w:eastAsia="zh-CN"/>
        </w:rPr>
        <w:t>在国内，目前也存在一些</w:t>
      </w:r>
      <w:r>
        <w:rPr>
          <w:rFonts w:hint="eastAsia"/>
          <w:lang w:eastAsia="zh-CN"/>
        </w:rPr>
        <w:t>物联网、传感器等泛在计算</w:t>
      </w:r>
      <w:r>
        <w:rPr>
          <w:lang w:eastAsia="zh-CN"/>
        </w:rPr>
        <w:t>相关的标准，但针对</w:t>
      </w:r>
      <w:r>
        <w:rPr>
          <w:rFonts w:hint="eastAsia"/>
          <w:lang w:eastAsia="zh-CN"/>
        </w:rPr>
        <w:t>泛在操作系统</w:t>
      </w:r>
      <w:r>
        <w:rPr>
          <w:lang w:eastAsia="zh-CN"/>
        </w:rPr>
        <w:t>的标准较少。本标准与国内其他</w:t>
      </w:r>
      <w:r>
        <w:rPr>
          <w:rFonts w:hint="eastAsia"/>
          <w:lang w:eastAsia="zh-CN"/>
        </w:rPr>
        <w:t>泛在计算相关</w:t>
      </w:r>
      <w:r>
        <w:rPr>
          <w:lang w:eastAsia="zh-CN"/>
        </w:rPr>
        <w:t>标准相互补充，重点聚焦于</w:t>
      </w:r>
      <w:r>
        <w:rPr>
          <w:rFonts w:hint="eastAsia"/>
          <w:lang w:eastAsia="zh-CN"/>
        </w:rPr>
        <w:t>泛在操作系统相关术语的定义</w:t>
      </w:r>
      <w:r>
        <w:rPr>
          <w:lang w:eastAsia="zh-CN"/>
        </w:rPr>
        <w:t>，在内容上更加具体、细化，对推动我国</w:t>
      </w:r>
      <w:r>
        <w:rPr>
          <w:rFonts w:hint="eastAsia"/>
          <w:lang w:eastAsia="zh-CN"/>
        </w:rPr>
        <w:t>泛在操作系统</w:t>
      </w:r>
      <w:r>
        <w:rPr>
          <w:lang w:eastAsia="zh-CN"/>
        </w:rPr>
        <w:t>的发展具有独特的意义。</w:t>
      </w:r>
    </w:p>
    <w:bookmarkEnd w:id="20"/>
    <w:bookmarkEnd w:id="22"/>
    <w:p w14:paraId="64244EFF">
      <w:pPr>
        <w:pStyle w:val="4"/>
        <w:spacing w:line="360" w:lineRule="auto"/>
        <w:jc w:val="both"/>
        <w:rPr>
          <w:lang w:eastAsia="zh-CN"/>
        </w:rPr>
      </w:pPr>
      <w:bookmarkStart w:id="23" w:name="五与有关的现行法律法规和强制性标准的关系"/>
      <w:r>
        <w:rPr>
          <w:lang w:eastAsia="zh-CN"/>
        </w:rPr>
        <w:t>五、与有关的现行法律、法规和强制性标准的关系</w:t>
      </w:r>
    </w:p>
    <w:p w14:paraId="5FF77828">
      <w:pPr>
        <w:pStyle w:val="28"/>
        <w:spacing w:line="360" w:lineRule="auto"/>
        <w:ind w:firstLine="480" w:firstLineChars="200"/>
        <w:jc w:val="both"/>
        <w:rPr>
          <w:lang w:eastAsia="zh-CN"/>
        </w:rPr>
      </w:pPr>
      <w:r>
        <w:rPr>
          <w:lang w:eastAsia="zh-CN"/>
        </w:rPr>
        <w:t>本标准在制定过程中，严格遵循我国现行的法律法规要求，确保标准内容不与法律法规相冲突。同时，本标准与现行的强制性标准保持协调一致。在</w:t>
      </w:r>
      <w:r>
        <w:rPr>
          <w:rFonts w:hint="eastAsia"/>
          <w:lang w:eastAsia="zh-CN"/>
        </w:rPr>
        <w:t>人机物融合泛在计算</w:t>
      </w:r>
      <w:r>
        <w:rPr>
          <w:lang w:eastAsia="zh-CN"/>
        </w:rPr>
        <w:t>领域，本标准是对现有标准体系的补充和完善，旨在</w:t>
      </w:r>
      <w:r>
        <w:rPr>
          <w:rFonts w:hint="eastAsia"/>
          <w:lang w:eastAsia="zh-CN"/>
        </w:rPr>
        <w:t>为泛在操作系统术语提供</w:t>
      </w:r>
      <w:r>
        <w:rPr>
          <w:lang w:eastAsia="zh-CN"/>
        </w:rPr>
        <w:t>标准</w:t>
      </w:r>
      <w:r>
        <w:rPr>
          <w:rFonts w:hint="eastAsia"/>
          <w:lang w:eastAsia="zh-CN"/>
        </w:rPr>
        <w:t>规范</w:t>
      </w:r>
      <w:r>
        <w:rPr>
          <w:lang w:eastAsia="zh-CN"/>
        </w:rPr>
        <w:t>，与其他强制性和推荐性标准共同构建完整的</w:t>
      </w:r>
      <w:r>
        <w:rPr>
          <w:rFonts w:hint="eastAsia"/>
          <w:lang w:eastAsia="zh-CN"/>
        </w:rPr>
        <w:t>泛在操作系统</w:t>
      </w:r>
      <w:r>
        <w:rPr>
          <w:lang w:eastAsia="zh-CN"/>
        </w:rPr>
        <w:t>标准体系，为</w:t>
      </w:r>
      <w:r>
        <w:rPr>
          <w:rFonts w:hint="eastAsia"/>
          <w:lang w:eastAsia="zh-CN"/>
        </w:rPr>
        <w:t>泛在操作系统</w:t>
      </w:r>
      <w:r>
        <w:rPr>
          <w:lang w:eastAsia="zh-CN"/>
        </w:rPr>
        <w:t>建设提供全面的技术支持。</w:t>
      </w:r>
    </w:p>
    <w:bookmarkEnd w:id="23"/>
    <w:p w14:paraId="33C98979">
      <w:pPr>
        <w:pStyle w:val="4"/>
        <w:spacing w:line="360" w:lineRule="auto"/>
        <w:jc w:val="both"/>
        <w:rPr>
          <w:lang w:eastAsia="zh-CN"/>
        </w:rPr>
      </w:pPr>
      <w:bookmarkStart w:id="24" w:name="六重大分歧意见的处理经过和依据"/>
      <w:r>
        <w:rPr>
          <w:lang w:eastAsia="zh-CN"/>
        </w:rPr>
        <w:t>六、重大分歧意见的处理经过和依据</w:t>
      </w:r>
    </w:p>
    <w:p w14:paraId="55ABB2DC">
      <w:pPr>
        <w:pStyle w:val="28"/>
        <w:spacing w:line="360" w:lineRule="auto"/>
        <w:ind w:firstLine="480" w:firstLineChars="200"/>
        <w:jc w:val="both"/>
        <w:rPr>
          <w:lang w:eastAsia="zh-CN"/>
        </w:rPr>
      </w:pPr>
      <w:r>
        <w:rPr>
          <w:lang w:eastAsia="zh-CN"/>
        </w:rPr>
        <w:t>在本标准的起草过程中，未出现重大分歧意见。起草小组成员在标准的编制原则、主要内容、试验验证等方面基本达成一致。对于一些小的意见分歧，如</w:t>
      </w:r>
      <w:r>
        <w:rPr>
          <w:rFonts w:hint="eastAsia"/>
          <w:lang w:eastAsia="zh-CN"/>
        </w:rPr>
        <w:t>部分术语</w:t>
      </w:r>
      <w:r>
        <w:rPr>
          <w:lang w:eastAsia="zh-CN"/>
        </w:rPr>
        <w:t>的</w:t>
      </w:r>
      <w:r>
        <w:rPr>
          <w:rFonts w:hint="eastAsia"/>
          <w:lang w:eastAsia="zh-CN"/>
        </w:rPr>
        <w:t>描述方式</w:t>
      </w:r>
      <w:r>
        <w:rPr>
          <w:lang w:eastAsia="zh-CN"/>
        </w:rPr>
        <w:t>等问题，通过查阅相关技术文献、进行内部技术讨论以及参考实际应用经验等方式，最终达成了共识。</w:t>
      </w:r>
    </w:p>
    <w:bookmarkEnd w:id="24"/>
    <w:p w14:paraId="36F97BD6">
      <w:pPr>
        <w:pStyle w:val="4"/>
        <w:spacing w:line="360" w:lineRule="auto"/>
        <w:jc w:val="both"/>
        <w:rPr>
          <w:lang w:eastAsia="zh-CN"/>
        </w:rPr>
      </w:pPr>
      <w:bookmarkStart w:id="25" w:name="七标准作为团体标准的必要性"/>
      <w:r>
        <w:rPr>
          <w:lang w:eastAsia="zh-CN"/>
        </w:rPr>
        <w:t>七、标准作为团体标准的必要性</w:t>
      </w:r>
    </w:p>
    <w:p w14:paraId="1C109963">
      <w:pPr>
        <w:pStyle w:val="29"/>
        <w:numPr>
          <w:ilvl w:val="0"/>
          <w:numId w:val="9"/>
        </w:numPr>
        <w:spacing w:line="360" w:lineRule="auto"/>
        <w:jc w:val="both"/>
      </w:pPr>
      <w:r>
        <w:rPr>
          <w:b/>
          <w:bCs/>
        </w:rPr>
        <w:t>满足特定行业需求</w:t>
      </w:r>
    </w:p>
    <w:p w14:paraId="43D919DF">
      <w:pPr>
        <w:pStyle w:val="29"/>
        <w:numPr>
          <w:ilvl w:val="1"/>
          <w:numId w:val="2"/>
        </w:numPr>
        <w:spacing w:line="360" w:lineRule="auto"/>
        <w:jc w:val="both"/>
        <w:rPr>
          <w:lang w:eastAsia="zh-CN"/>
        </w:rPr>
      </w:pPr>
      <w:r>
        <w:rPr>
          <w:lang w:eastAsia="zh-CN"/>
        </w:rPr>
        <w:t>在</w:t>
      </w:r>
      <w:r>
        <w:rPr>
          <w:rFonts w:hint="eastAsia"/>
          <w:lang w:eastAsia="zh-CN"/>
        </w:rPr>
        <w:t>泛在操作系统相关技术的发展中</w:t>
      </w:r>
      <w:r>
        <w:rPr>
          <w:lang w:eastAsia="zh-CN"/>
        </w:rPr>
        <w:t>，</w:t>
      </w:r>
      <w:r>
        <w:rPr>
          <w:rFonts w:hint="eastAsia"/>
          <w:lang w:eastAsia="zh-CN"/>
        </w:rPr>
        <w:t>相关术语</w:t>
      </w:r>
      <w:r>
        <w:rPr>
          <w:lang w:eastAsia="zh-CN"/>
        </w:rPr>
        <w:t>的标准化是</w:t>
      </w:r>
      <w:r>
        <w:rPr>
          <w:rFonts w:hint="eastAsia"/>
          <w:lang w:eastAsia="zh-CN"/>
        </w:rPr>
        <w:t>促进泛在操作系统理解、实现泛在操作系统开发</w:t>
      </w:r>
      <w:r>
        <w:rPr>
          <w:lang w:eastAsia="zh-CN"/>
        </w:rPr>
        <w:t>的关键。本团体标准专门针对这一特定领域的需求制定，能够</w:t>
      </w:r>
      <w:r>
        <w:rPr>
          <w:rFonts w:hint="eastAsia"/>
          <w:lang w:eastAsia="zh-CN"/>
        </w:rPr>
        <w:t>满足相关</w:t>
      </w:r>
      <w:r>
        <w:rPr>
          <w:lang w:eastAsia="zh-CN"/>
        </w:rPr>
        <w:t>成员单位以及</w:t>
      </w:r>
      <w:r>
        <w:rPr>
          <w:rFonts w:hint="eastAsia"/>
          <w:lang w:eastAsia="zh-CN"/>
        </w:rPr>
        <w:t>泛在操作系统开发</w:t>
      </w:r>
      <w:r>
        <w:rPr>
          <w:lang w:eastAsia="zh-CN"/>
        </w:rPr>
        <w:t>的需求，为行业发展提供技术支持。</w:t>
      </w:r>
    </w:p>
    <w:p w14:paraId="7AC24E9C">
      <w:pPr>
        <w:pStyle w:val="29"/>
        <w:numPr>
          <w:ilvl w:val="0"/>
          <w:numId w:val="9"/>
        </w:numPr>
        <w:spacing w:line="360" w:lineRule="auto"/>
        <w:jc w:val="both"/>
      </w:pPr>
      <w:r>
        <w:rPr>
          <w:b/>
          <w:bCs/>
        </w:rPr>
        <w:t>促进技术创新与交流</w:t>
      </w:r>
    </w:p>
    <w:p w14:paraId="0B4EA545">
      <w:pPr>
        <w:pStyle w:val="29"/>
        <w:numPr>
          <w:ilvl w:val="1"/>
          <w:numId w:val="2"/>
        </w:numPr>
        <w:spacing w:line="360" w:lineRule="auto"/>
        <w:jc w:val="both"/>
        <w:rPr>
          <w:lang w:eastAsia="zh-CN"/>
        </w:rPr>
      </w:pPr>
      <w:r>
        <w:rPr>
          <w:lang w:eastAsia="zh-CN"/>
        </w:rPr>
        <w:t>作为团体标准，它将为</w:t>
      </w:r>
      <w:r>
        <w:rPr>
          <w:rFonts w:hint="eastAsia"/>
          <w:lang w:eastAsia="zh-CN"/>
        </w:rPr>
        <w:t>人机物融合泛在计算领域</w:t>
      </w:r>
      <w:r>
        <w:rPr>
          <w:lang w:eastAsia="zh-CN"/>
        </w:rPr>
        <w:t>的企业和机构提供一个统一的</w:t>
      </w:r>
      <w:r>
        <w:rPr>
          <w:rFonts w:hint="eastAsia"/>
          <w:lang w:eastAsia="zh-CN"/>
        </w:rPr>
        <w:t>泛在操作系统术语体系</w:t>
      </w:r>
      <w:r>
        <w:rPr>
          <w:lang w:eastAsia="zh-CN"/>
        </w:rPr>
        <w:t>。通过制定和推广本标准，能够促进企业之间在</w:t>
      </w:r>
      <w:r>
        <w:rPr>
          <w:rFonts w:hint="eastAsia"/>
          <w:lang w:eastAsia="zh-CN"/>
        </w:rPr>
        <w:t>泛在操作系统开发和部署</w:t>
      </w:r>
      <w:r>
        <w:rPr>
          <w:lang w:eastAsia="zh-CN"/>
        </w:rPr>
        <w:t>方面的创新与交流，鼓励企业在遵循标准的基础上进行技术研发和应用实践，推动行业技术水平的不断提高。</w:t>
      </w:r>
    </w:p>
    <w:p w14:paraId="6326FF70">
      <w:pPr>
        <w:pStyle w:val="29"/>
        <w:numPr>
          <w:ilvl w:val="0"/>
          <w:numId w:val="9"/>
        </w:numPr>
        <w:spacing w:line="360" w:lineRule="auto"/>
        <w:jc w:val="both"/>
      </w:pPr>
      <w:r>
        <w:rPr>
          <w:b/>
          <w:bCs/>
        </w:rPr>
        <w:t>填补标准空白</w:t>
      </w:r>
    </w:p>
    <w:p w14:paraId="6A224E71">
      <w:pPr>
        <w:pStyle w:val="29"/>
        <w:numPr>
          <w:ilvl w:val="1"/>
          <w:numId w:val="2"/>
        </w:numPr>
        <w:spacing w:line="360" w:lineRule="auto"/>
        <w:jc w:val="both"/>
        <w:rPr>
          <w:lang w:eastAsia="zh-CN"/>
        </w:rPr>
      </w:pPr>
      <w:r>
        <w:rPr>
          <w:lang w:eastAsia="zh-CN"/>
        </w:rPr>
        <w:t>在我国现行的标准体系中，针对</w:t>
      </w:r>
      <w:r>
        <w:rPr>
          <w:rFonts w:hint="eastAsia"/>
          <w:lang w:eastAsia="zh-CN"/>
        </w:rPr>
        <w:t>人机物融合场景下的泛在操作系统</w:t>
      </w:r>
      <w:r>
        <w:rPr>
          <w:lang w:eastAsia="zh-CN"/>
        </w:rPr>
        <w:t>标准相对较少。本团体标准的制定将填补这一空白，完善</w:t>
      </w:r>
      <w:r>
        <w:rPr>
          <w:rFonts w:hint="eastAsia"/>
          <w:lang w:eastAsia="zh-CN"/>
        </w:rPr>
        <w:t>泛在操作系统术语</w:t>
      </w:r>
      <w:r>
        <w:rPr>
          <w:lang w:eastAsia="zh-CN"/>
        </w:rPr>
        <w:t>体系，为</w:t>
      </w:r>
      <w:r>
        <w:rPr>
          <w:rFonts w:hint="eastAsia"/>
          <w:lang w:eastAsia="zh-CN"/>
        </w:rPr>
        <w:t>泛在操作系统</w:t>
      </w:r>
      <w:r>
        <w:rPr>
          <w:lang w:eastAsia="zh-CN"/>
        </w:rPr>
        <w:t>的发展提供更为全面、系统的标准依据。</w:t>
      </w:r>
    </w:p>
    <w:bookmarkEnd w:id="25"/>
    <w:p w14:paraId="41282E53">
      <w:pPr>
        <w:pStyle w:val="4"/>
        <w:spacing w:line="360" w:lineRule="auto"/>
        <w:jc w:val="both"/>
        <w:rPr>
          <w:lang w:eastAsia="zh-CN"/>
        </w:rPr>
      </w:pPr>
      <w:bookmarkStart w:id="26" w:name="八贯彻标准的要求和措施建议"/>
      <w:r>
        <w:rPr>
          <w:lang w:eastAsia="zh-CN"/>
        </w:rPr>
        <w:t>八、贯彻标准的要求和措施建议</w:t>
      </w:r>
    </w:p>
    <w:p w14:paraId="3D8607DC">
      <w:pPr>
        <w:pStyle w:val="5"/>
        <w:spacing w:line="360" w:lineRule="auto"/>
        <w:jc w:val="both"/>
      </w:pPr>
      <w:bookmarkStart w:id="27" w:name="一贯彻标准的要求"/>
      <w:r>
        <w:t>（一）贯彻标准的要求</w:t>
      </w:r>
    </w:p>
    <w:p w14:paraId="59E8575D">
      <w:pPr>
        <w:pStyle w:val="29"/>
        <w:numPr>
          <w:ilvl w:val="0"/>
          <w:numId w:val="10"/>
        </w:numPr>
        <w:spacing w:line="360" w:lineRule="auto"/>
        <w:jc w:val="both"/>
      </w:pPr>
      <w:r>
        <w:rPr>
          <w:b/>
          <w:bCs/>
        </w:rPr>
        <w:t>宣传推广</w:t>
      </w:r>
    </w:p>
    <w:p w14:paraId="416C7FD3">
      <w:pPr>
        <w:pStyle w:val="29"/>
        <w:numPr>
          <w:ilvl w:val="1"/>
          <w:numId w:val="2"/>
        </w:numPr>
        <w:spacing w:line="360" w:lineRule="auto"/>
        <w:jc w:val="both"/>
        <w:rPr>
          <w:lang w:eastAsia="zh-CN"/>
        </w:rPr>
      </w:pPr>
      <w:r>
        <w:rPr>
          <w:lang w:eastAsia="zh-CN"/>
        </w:rPr>
        <w:t>积极开展本标准的宣传推广工作，通过举办标准宣贯会、技术研讨会等形式，向会员单位和相关企业、机构介绍本标准的内容、意义和作用，提高标准的知晓度和影响力。</w:t>
      </w:r>
    </w:p>
    <w:p w14:paraId="7A7090D9">
      <w:pPr>
        <w:pStyle w:val="29"/>
        <w:numPr>
          <w:ilvl w:val="0"/>
          <w:numId w:val="10"/>
        </w:numPr>
        <w:spacing w:line="360" w:lineRule="auto"/>
        <w:jc w:val="both"/>
      </w:pPr>
      <w:r>
        <w:rPr>
          <w:b/>
          <w:bCs/>
        </w:rPr>
        <w:t>培训教育</w:t>
      </w:r>
    </w:p>
    <w:p w14:paraId="4B71D4CF">
      <w:pPr>
        <w:pStyle w:val="29"/>
        <w:numPr>
          <w:ilvl w:val="1"/>
          <w:numId w:val="2"/>
        </w:numPr>
        <w:spacing w:line="360" w:lineRule="auto"/>
        <w:jc w:val="both"/>
        <w:rPr>
          <w:lang w:eastAsia="zh-CN"/>
        </w:rPr>
      </w:pPr>
      <w:r>
        <w:rPr>
          <w:lang w:eastAsia="zh-CN"/>
        </w:rPr>
        <w:t>组织开展针对本标准的培训教育活动，邀请标准起草专家对相关人员进行培训，使其深入理解标准的技术内容和实施要求，为标准的贯彻实施提供人员保障。</w:t>
      </w:r>
    </w:p>
    <w:p w14:paraId="68FDEC54">
      <w:pPr>
        <w:pStyle w:val="29"/>
        <w:numPr>
          <w:ilvl w:val="0"/>
          <w:numId w:val="10"/>
        </w:numPr>
        <w:spacing w:line="360" w:lineRule="auto"/>
        <w:jc w:val="both"/>
      </w:pPr>
      <w:r>
        <w:rPr>
          <w:b/>
          <w:bCs/>
        </w:rPr>
        <w:t>示范应用</w:t>
      </w:r>
    </w:p>
    <w:p w14:paraId="70603844">
      <w:pPr>
        <w:pStyle w:val="29"/>
        <w:numPr>
          <w:ilvl w:val="1"/>
          <w:numId w:val="2"/>
        </w:numPr>
        <w:spacing w:line="360" w:lineRule="auto"/>
        <w:jc w:val="both"/>
        <w:rPr>
          <w:lang w:eastAsia="zh-CN"/>
        </w:rPr>
      </w:pPr>
      <w:r>
        <w:rPr>
          <w:lang w:eastAsia="zh-CN"/>
        </w:rPr>
        <w:t>鼓励部分有条件的会员单位率先开展本标准的示范应用，通过实际应用案例展示标准的可行性和有效性，为其他企业和机构贯彻实施标准提供借鉴经验。</w:t>
      </w:r>
    </w:p>
    <w:bookmarkEnd w:id="27"/>
    <w:p w14:paraId="365B7C2B">
      <w:pPr>
        <w:pStyle w:val="5"/>
        <w:spacing w:line="360" w:lineRule="auto"/>
        <w:jc w:val="both"/>
      </w:pPr>
      <w:bookmarkStart w:id="28" w:name="二措施建议"/>
      <w:r>
        <w:t>（二）措施建议</w:t>
      </w:r>
    </w:p>
    <w:p w14:paraId="6EB75403">
      <w:pPr>
        <w:pStyle w:val="29"/>
        <w:numPr>
          <w:ilvl w:val="0"/>
          <w:numId w:val="11"/>
        </w:numPr>
        <w:spacing w:line="360" w:lineRule="auto"/>
        <w:jc w:val="both"/>
      </w:pPr>
      <w:r>
        <w:rPr>
          <w:b/>
          <w:bCs/>
        </w:rPr>
        <w:t>建立监督机制</w:t>
      </w:r>
    </w:p>
    <w:p w14:paraId="0A1EE17E">
      <w:pPr>
        <w:pStyle w:val="29"/>
        <w:numPr>
          <w:ilvl w:val="1"/>
          <w:numId w:val="2"/>
        </w:numPr>
        <w:spacing w:line="360" w:lineRule="auto"/>
        <w:jc w:val="both"/>
        <w:rPr>
          <w:lang w:eastAsia="zh-CN"/>
        </w:rPr>
      </w:pPr>
      <w:r>
        <w:rPr>
          <w:lang w:eastAsia="zh-CN"/>
        </w:rPr>
        <w:t>建立对本标准贯彻实施情况的监督机制，定期对会员单位和相关企业的标准执行情况进行检查和评估，确保标准得到有效贯彻实施。</w:t>
      </w:r>
    </w:p>
    <w:p w14:paraId="5DBD4F8D">
      <w:pPr>
        <w:pStyle w:val="29"/>
        <w:numPr>
          <w:ilvl w:val="0"/>
          <w:numId w:val="11"/>
        </w:numPr>
        <w:spacing w:line="360" w:lineRule="auto"/>
        <w:jc w:val="both"/>
      </w:pPr>
      <w:r>
        <w:rPr>
          <w:b/>
          <w:bCs/>
        </w:rPr>
        <w:t>反馈与改进</w:t>
      </w:r>
    </w:p>
    <w:p w14:paraId="42A1B794">
      <w:pPr>
        <w:pStyle w:val="29"/>
        <w:numPr>
          <w:ilvl w:val="1"/>
          <w:numId w:val="2"/>
        </w:numPr>
        <w:spacing w:line="360" w:lineRule="auto"/>
        <w:jc w:val="both"/>
        <w:rPr>
          <w:lang w:eastAsia="zh-CN"/>
        </w:rPr>
      </w:pPr>
      <w:r>
        <w:rPr>
          <w:lang w:eastAsia="zh-CN"/>
        </w:rPr>
        <w:t>在标准贯彻实施过程中，建立反馈渠道，及时收集企业和机构在应用标准过程中遇到的问题和意见，以便对标准进行适时的修订和完善，提高标准的适应性和实用性。</w:t>
      </w:r>
    </w:p>
    <w:bookmarkEnd w:id="26"/>
    <w:bookmarkEnd w:id="28"/>
    <w:p w14:paraId="510C7D0F">
      <w:pPr>
        <w:pStyle w:val="4"/>
        <w:spacing w:line="360" w:lineRule="auto"/>
        <w:jc w:val="both"/>
        <w:rPr>
          <w:lang w:eastAsia="zh-CN"/>
        </w:rPr>
      </w:pPr>
      <w:bookmarkStart w:id="29" w:name="九废止现行有关标准的建议"/>
      <w:r>
        <w:rPr>
          <w:lang w:eastAsia="zh-CN"/>
        </w:rPr>
        <w:t>九、废止现行有关标准的建议</w:t>
      </w:r>
    </w:p>
    <w:p w14:paraId="67268F8C">
      <w:pPr>
        <w:pStyle w:val="28"/>
        <w:spacing w:line="360" w:lineRule="auto"/>
        <w:ind w:firstLine="480" w:firstLineChars="200"/>
        <w:jc w:val="both"/>
        <w:rPr>
          <w:lang w:eastAsia="zh-CN"/>
        </w:rPr>
      </w:pPr>
      <w:r>
        <w:rPr>
          <w:rFonts w:hint="default"/>
          <w:lang w:val="en-US" w:eastAsia="zh-CN"/>
        </w:rPr>
        <w:t>本标准为新制定的团体标准，不存在废止现行有关标准的情况</w:t>
      </w:r>
      <w:r>
        <w:rPr>
          <w:lang w:eastAsia="zh-CN"/>
        </w:rPr>
        <w:t>。</w:t>
      </w:r>
    </w:p>
    <w:bookmarkEnd w:id="29"/>
    <w:p w14:paraId="4D5DEBAA">
      <w:pPr>
        <w:pStyle w:val="4"/>
        <w:spacing w:line="360" w:lineRule="auto"/>
        <w:jc w:val="both"/>
        <w:rPr>
          <w:lang w:eastAsia="zh-CN"/>
        </w:rPr>
      </w:pPr>
      <w:bookmarkStart w:id="30" w:name="十其他应予说明的事项"/>
      <w:r>
        <w:rPr>
          <w:lang w:eastAsia="zh-CN"/>
        </w:rPr>
        <w:t>十、其他应予说明的事项</w:t>
      </w:r>
    </w:p>
    <w:p w14:paraId="2726B1A0">
      <w:pPr>
        <w:pStyle w:val="28"/>
        <w:spacing w:line="360" w:lineRule="auto"/>
        <w:ind w:firstLine="480" w:firstLineChars="200"/>
        <w:jc w:val="both"/>
        <w:rPr>
          <w:lang w:eastAsia="zh-CN"/>
        </w:rPr>
      </w:pPr>
      <w:r>
        <w:rPr>
          <w:rFonts w:hint="eastAsia"/>
          <w:lang w:val="en-US" w:eastAsia="zh-CN"/>
        </w:rPr>
        <w:t>无</w:t>
      </w:r>
      <w:r>
        <w:rPr>
          <w:lang w:eastAsia="zh-CN"/>
        </w:rPr>
        <w:t>。</w:t>
      </w:r>
      <w:bookmarkEnd w:id="1"/>
      <w:bookmarkEnd w:id="30"/>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abstractNum w:abstractNumId="1">
    <w:nsid w:val="00A99411"/>
    <w:multiLevelType w:val="multilevel"/>
    <w:tmpl w:val="00A99411"/>
    <w:lvl w:ilvl="0" w:tentative="0">
      <w:start w:val="1"/>
      <w:numFmt w:val="decimal"/>
      <w:lvlText w:val="%1."/>
      <w:lvlJc w:val="left"/>
      <w:pPr>
        <w:ind w:left="720" w:hanging="480"/>
      </w:pPr>
    </w:lvl>
    <w:lvl w:ilvl="1" w:tentative="0">
      <w:start w:val="1"/>
      <w:numFmt w:val="decimal"/>
      <w:lvlText w:val="%2."/>
      <w:lvlJc w:val="left"/>
      <w:pPr>
        <w:ind w:left="1440" w:hanging="480"/>
      </w:pPr>
    </w:lvl>
    <w:lvl w:ilvl="2" w:tentative="0">
      <w:start w:val="1"/>
      <w:numFmt w:val="decimal"/>
      <w:lvlText w:val="%3."/>
      <w:lvlJc w:val="left"/>
      <w:pPr>
        <w:ind w:left="2160" w:hanging="480"/>
      </w:pPr>
    </w:lvl>
    <w:lvl w:ilvl="3" w:tentative="0">
      <w:start w:val="1"/>
      <w:numFmt w:val="decimal"/>
      <w:lvlText w:val="%4."/>
      <w:lvlJc w:val="left"/>
      <w:pPr>
        <w:ind w:left="2880" w:hanging="480"/>
      </w:pPr>
    </w:lvl>
    <w:lvl w:ilvl="4" w:tentative="0">
      <w:start w:val="1"/>
      <w:numFmt w:val="decimal"/>
      <w:lvlText w:val="%5."/>
      <w:lvlJc w:val="left"/>
      <w:pPr>
        <w:ind w:left="3600" w:hanging="480"/>
      </w:pPr>
    </w:lvl>
    <w:lvl w:ilvl="5" w:tentative="0">
      <w:start w:val="1"/>
      <w:numFmt w:val="decimal"/>
      <w:lvlText w:val="%6."/>
      <w:lvlJc w:val="left"/>
      <w:pPr>
        <w:ind w:left="4320" w:hanging="480"/>
      </w:pPr>
    </w:lvl>
    <w:lvl w:ilvl="6" w:tentative="0">
      <w:start w:val="1"/>
      <w:numFmt w:val="decimal"/>
      <w:lvlText w:val="%7."/>
      <w:lvlJc w:val="left"/>
      <w:pPr>
        <w:ind w:left="5040" w:hanging="480"/>
      </w:pPr>
    </w:lvl>
    <w:lvl w:ilvl="7" w:tentative="0">
      <w:start w:val="1"/>
      <w:numFmt w:val="decimal"/>
      <w:lvlText w:val="%8."/>
      <w:lvlJc w:val="left"/>
      <w:pPr>
        <w:ind w:left="5760" w:hanging="480"/>
      </w:pPr>
    </w:lvl>
    <w:lvl w:ilvl="8" w:tentative="0">
      <w:start w:val="1"/>
      <w:numFmt w:val="decimal"/>
      <w:lvlText w:val="%9."/>
      <w:lvlJc w:val="left"/>
      <w:pPr>
        <w:ind w:left="6480" w:hanging="480"/>
      </w:pPr>
    </w:lvl>
  </w:abstractNum>
  <w:abstractNum w:abstractNumId="2">
    <w:nsid w:val="2FD35E69"/>
    <w:multiLevelType w:val="multilevel"/>
    <w:tmpl w:val="2FD35E69"/>
    <w:lvl w:ilvl="0" w:tentative="0">
      <w:start w:val="1"/>
      <w:numFmt w:val="decimal"/>
      <w:lvlText w:val="%1."/>
      <w:lvlJc w:val="left"/>
      <w:pPr>
        <w:ind w:left="720" w:hanging="480"/>
      </w:pPr>
    </w:lvl>
    <w:lvl w:ilvl="1" w:tentative="0">
      <w:start w:val="1"/>
      <w:numFmt w:val="decimal"/>
      <w:lvlText w:val="%2."/>
      <w:lvlJc w:val="left"/>
      <w:pPr>
        <w:ind w:left="1440" w:hanging="480"/>
      </w:pPr>
    </w:lvl>
    <w:lvl w:ilvl="2" w:tentative="0">
      <w:start w:val="1"/>
      <w:numFmt w:val="decimal"/>
      <w:lvlText w:val="%3."/>
      <w:lvlJc w:val="left"/>
      <w:pPr>
        <w:ind w:left="2160" w:hanging="480"/>
      </w:pPr>
    </w:lvl>
    <w:lvl w:ilvl="3" w:tentative="0">
      <w:start w:val="1"/>
      <w:numFmt w:val="decimal"/>
      <w:lvlText w:val="%4."/>
      <w:lvlJc w:val="left"/>
      <w:pPr>
        <w:ind w:left="2880" w:hanging="480"/>
      </w:pPr>
    </w:lvl>
    <w:lvl w:ilvl="4" w:tentative="0">
      <w:start w:val="1"/>
      <w:numFmt w:val="decimal"/>
      <w:lvlText w:val="%5."/>
      <w:lvlJc w:val="left"/>
      <w:pPr>
        <w:ind w:left="3600" w:hanging="480"/>
      </w:pPr>
    </w:lvl>
    <w:lvl w:ilvl="5" w:tentative="0">
      <w:start w:val="1"/>
      <w:numFmt w:val="decimal"/>
      <w:lvlText w:val="%6."/>
      <w:lvlJc w:val="left"/>
      <w:pPr>
        <w:ind w:left="4320" w:hanging="480"/>
      </w:pPr>
    </w:lvl>
    <w:lvl w:ilvl="6" w:tentative="0">
      <w:start w:val="1"/>
      <w:numFmt w:val="decimal"/>
      <w:lvlText w:val="%7."/>
      <w:lvlJc w:val="left"/>
      <w:pPr>
        <w:ind w:left="5040" w:hanging="480"/>
      </w:pPr>
    </w:lvl>
    <w:lvl w:ilvl="7" w:tentative="0">
      <w:start w:val="1"/>
      <w:numFmt w:val="decimal"/>
      <w:lvlText w:val="%8."/>
      <w:lvlJc w:val="left"/>
      <w:pPr>
        <w:ind w:left="5760" w:hanging="480"/>
      </w:pPr>
    </w:lvl>
    <w:lvl w:ilvl="8" w:tentative="0">
      <w:start w:val="1"/>
      <w:numFmt w:val="decimal"/>
      <w:lvlText w:val="%9."/>
      <w:lvlJc w:val="left"/>
      <w:pPr>
        <w:ind w:left="648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dlZjRjM2VjOWIwMGE0MDczNDMwMDdiN2NmMjI0YTcifQ=="/>
  </w:docVars>
  <w:rsids>
    <w:rsidRoot w:val="00F62090"/>
    <w:rsid w:val="0007469A"/>
    <w:rsid w:val="00092041"/>
    <w:rsid w:val="000C5829"/>
    <w:rsid w:val="000F3C75"/>
    <w:rsid w:val="00112B82"/>
    <w:rsid w:val="00140AAF"/>
    <w:rsid w:val="00152945"/>
    <w:rsid w:val="001902EA"/>
    <w:rsid w:val="0019354A"/>
    <w:rsid w:val="001C43B0"/>
    <w:rsid w:val="00242486"/>
    <w:rsid w:val="00272153"/>
    <w:rsid w:val="002E0280"/>
    <w:rsid w:val="002F0381"/>
    <w:rsid w:val="002F7FD9"/>
    <w:rsid w:val="00302CC4"/>
    <w:rsid w:val="00361F99"/>
    <w:rsid w:val="003F6E2E"/>
    <w:rsid w:val="0040220C"/>
    <w:rsid w:val="00404A76"/>
    <w:rsid w:val="00410A46"/>
    <w:rsid w:val="004143AA"/>
    <w:rsid w:val="00432D10"/>
    <w:rsid w:val="004468E7"/>
    <w:rsid w:val="00474444"/>
    <w:rsid w:val="004939AF"/>
    <w:rsid w:val="004C2A80"/>
    <w:rsid w:val="004E27E3"/>
    <w:rsid w:val="005222B0"/>
    <w:rsid w:val="005861AA"/>
    <w:rsid w:val="00630776"/>
    <w:rsid w:val="00647020"/>
    <w:rsid w:val="006A1F5A"/>
    <w:rsid w:val="006A5B91"/>
    <w:rsid w:val="006C78ED"/>
    <w:rsid w:val="006D6B4C"/>
    <w:rsid w:val="00705819"/>
    <w:rsid w:val="00763277"/>
    <w:rsid w:val="00797954"/>
    <w:rsid w:val="007C79A2"/>
    <w:rsid w:val="007F0C91"/>
    <w:rsid w:val="00800125"/>
    <w:rsid w:val="00821578"/>
    <w:rsid w:val="008624F5"/>
    <w:rsid w:val="00884802"/>
    <w:rsid w:val="008C3640"/>
    <w:rsid w:val="00961CB3"/>
    <w:rsid w:val="0096470B"/>
    <w:rsid w:val="00980C4F"/>
    <w:rsid w:val="009C528A"/>
    <w:rsid w:val="009F02BA"/>
    <w:rsid w:val="009F2E84"/>
    <w:rsid w:val="009F68AA"/>
    <w:rsid w:val="00A105EA"/>
    <w:rsid w:val="00A46A0E"/>
    <w:rsid w:val="00A53A9B"/>
    <w:rsid w:val="00A84CBC"/>
    <w:rsid w:val="00AA7479"/>
    <w:rsid w:val="00B02B02"/>
    <w:rsid w:val="00B5628B"/>
    <w:rsid w:val="00B82A40"/>
    <w:rsid w:val="00B93553"/>
    <w:rsid w:val="00B940B5"/>
    <w:rsid w:val="00BD3168"/>
    <w:rsid w:val="00BE55BD"/>
    <w:rsid w:val="00BF6941"/>
    <w:rsid w:val="00C006DA"/>
    <w:rsid w:val="00C16457"/>
    <w:rsid w:val="00C33D9E"/>
    <w:rsid w:val="00C36BCD"/>
    <w:rsid w:val="00C37660"/>
    <w:rsid w:val="00C775EE"/>
    <w:rsid w:val="00CC1C59"/>
    <w:rsid w:val="00CD7065"/>
    <w:rsid w:val="00CE24A4"/>
    <w:rsid w:val="00D109AC"/>
    <w:rsid w:val="00D241AB"/>
    <w:rsid w:val="00D26211"/>
    <w:rsid w:val="00D441A2"/>
    <w:rsid w:val="00DA5625"/>
    <w:rsid w:val="00DC1CF3"/>
    <w:rsid w:val="00DC6E15"/>
    <w:rsid w:val="00DF47AB"/>
    <w:rsid w:val="00E05003"/>
    <w:rsid w:val="00E11204"/>
    <w:rsid w:val="00E5277D"/>
    <w:rsid w:val="00EC45CC"/>
    <w:rsid w:val="00F0786D"/>
    <w:rsid w:val="00F62090"/>
    <w:rsid w:val="06AF7570"/>
    <w:rsid w:val="097A36D5"/>
    <w:rsid w:val="0BFF5D3E"/>
    <w:rsid w:val="1E0D5ADF"/>
    <w:rsid w:val="1F0D7808"/>
    <w:rsid w:val="1F875B0B"/>
    <w:rsid w:val="2108522F"/>
    <w:rsid w:val="2785708E"/>
    <w:rsid w:val="2A927329"/>
    <w:rsid w:val="2E3A00E1"/>
    <w:rsid w:val="30B4367E"/>
    <w:rsid w:val="4AB83967"/>
    <w:rsid w:val="4EB73721"/>
    <w:rsid w:val="5A8A4D3C"/>
    <w:rsid w:val="66E46C26"/>
    <w:rsid w:val="6BAF6A48"/>
    <w:rsid w:val="6EE21C9D"/>
    <w:rsid w:val="764D0344"/>
    <w:rsid w:val="7C8D4D6A"/>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qFormat="1" w:uiPriority="99" w:semiHidden="0" w:name="annotation text"/>
    <w:lsdException w:qFormat="1"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link w:val="79"/>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5"/>
    <w:qFormat/>
    <w:uiPriority w:val="0"/>
    <w:pPr>
      <w:spacing w:after="120"/>
    </w:pPr>
    <w:rPr>
      <w:i/>
    </w:rPr>
  </w:style>
  <w:style w:type="paragraph" w:styleId="13">
    <w:name w:val="annotation text"/>
    <w:basedOn w:val="1"/>
    <w:link w:val="77"/>
    <w:unhideWhenUsed/>
    <w:qFormat/>
    <w:uiPriority w:val="99"/>
    <w:pPr>
      <w:widowControl w:val="0"/>
      <w:spacing w:after="0"/>
    </w:pPr>
    <w:rPr>
      <w:kern w:val="2"/>
      <w:sz w:val="21"/>
      <w:szCs w:val="22"/>
      <w:lang w:eastAsia="zh-CN"/>
    </w:rPr>
  </w:style>
  <w:style w:type="paragraph" w:styleId="14">
    <w:name w:val="Block Text"/>
    <w:basedOn w:val="3"/>
    <w:next w:val="3"/>
    <w:unhideWhenUsed/>
    <w:qFormat/>
    <w:uiPriority w:val="9"/>
    <w:pPr>
      <w:spacing w:before="100" w:after="100"/>
      <w:ind w:left="480" w:right="480"/>
    </w:pPr>
  </w:style>
  <w:style w:type="paragraph" w:styleId="15">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6">
    <w:name w:val="footer"/>
    <w:basedOn w:val="1"/>
    <w:link w:val="76"/>
    <w:unhideWhenUsed/>
    <w:qFormat/>
    <w:uiPriority w:val="0"/>
    <w:pPr>
      <w:tabs>
        <w:tab w:val="center" w:pos="4153"/>
        <w:tab w:val="right" w:pos="8306"/>
      </w:tabs>
      <w:snapToGrid w:val="0"/>
    </w:pPr>
    <w:rPr>
      <w:sz w:val="18"/>
      <w:szCs w:val="18"/>
    </w:rPr>
  </w:style>
  <w:style w:type="paragraph" w:styleId="17">
    <w:name w:val="header"/>
    <w:basedOn w:val="1"/>
    <w:link w:val="75"/>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Subtitle"/>
    <w:basedOn w:val="19"/>
    <w:next w:val="3"/>
    <w:qFormat/>
    <w:uiPriority w:val="0"/>
    <w:pPr>
      <w:spacing w:before="240"/>
    </w:pPr>
    <w:rPr>
      <w:sz w:val="30"/>
      <w:szCs w:val="30"/>
    </w:rPr>
  </w:style>
  <w:style w:type="paragraph" w:styleId="19">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20">
    <w:name w:val="footnote text"/>
    <w:basedOn w:val="1"/>
    <w:unhideWhenUsed/>
    <w:qFormat/>
    <w:uiPriority w:val="9"/>
  </w:style>
  <w:style w:type="paragraph" w:styleId="21">
    <w:name w:val="annotation subject"/>
    <w:basedOn w:val="13"/>
    <w:next w:val="13"/>
    <w:link w:val="78"/>
    <w:semiHidden/>
    <w:unhideWhenUsed/>
    <w:qFormat/>
    <w:uiPriority w:val="0"/>
    <w:pPr>
      <w:widowControl/>
      <w:spacing w:after="200"/>
    </w:pPr>
    <w:rPr>
      <w:b/>
      <w:bCs/>
      <w:kern w:val="0"/>
      <w:sz w:val="24"/>
      <w:szCs w:val="24"/>
      <w:lang w:eastAsia="en-US"/>
    </w:rPr>
  </w:style>
  <w:style w:type="character" w:styleId="24">
    <w:name w:val="Hyperlink"/>
    <w:basedOn w:val="25"/>
    <w:qFormat/>
    <w:uiPriority w:val="0"/>
    <w:rPr>
      <w:color w:val="4F81BD" w:themeColor="accent1"/>
      <w14:textFill>
        <w14:solidFill>
          <w14:schemeClr w14:val="accent1"/>
        </w14:solidFill>
      </w14:textFill>
    </w:rPr>
  </w:style>
  <w:style w:type="character" w:customStyle="1" w:styleId="25">
    <w:name w:val="题注 字符"/>
    <w:basedOn w:val="23"/>
    <w:link w:val="12"/>
    <w:qFormat/>
    <w:uiPriority w:val="0"/>
  </w:style>
  <w:style w:type="character" w:styleId="26">
    <w:name w:val="annotation reference"/>
    <w:basedOn w:val="23"/>
    <w:semiHidden/>
    <w:unhideWhenUsed/>
    <w:qFormat/>
    <w:uiPriority w:val="99"/>
    <w:rPr>
      <w:sz w:val="21"/>
      <w:szCs w:val="21"/>
    </w:rPr>
  </w:style>
  <w:style w:type="character" w:styleId="27">
    <w:name w:val="footnote reference"/>
    <w:basedOn w:val="25"/>
    <w:qFormat/>
    <w:uiPriority w:val="0"/>
    <w:rPr>
      <w:vertAlign w:val="superscript"/>
    </w:rPr>
  </w:style>
  <w:style w:type="paragraph" w:customStyle="1" w:styleId="28">
    <w:name w:val="First Paragraph"/>
    <w:basedOn w:val="3"/>
    <w:next w:val="3"/>
    <w:qFormat/>
    <w:uiPriority w:val="0"/>
  </w:style>
  <w:style w:type="paragraph" w:customStyle="1" w:styleId="29">
    <w:name w:val="Compact"/>
    <w:basedOn w:val="3"/>
    <w:qFormat/>
    <w:uiPriority w:val="0"/>
    <w:pPr>
      <w:spacing w:before="36" w:after="36"/>
    </w:pPr>
  </w:style>
  <w:style w:type="paragraph" w:customStyle="1" w:styleId="30">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31">
    <w:name w:val="Abstract"/>
    <w:basedOn w:val="1"/>
    <w:next w:val="3"/>
    <w:qFormat/>
    <w:uiPriority w:val="0"/>
    <w:pPr>
      <w:keepNext/>
      <w:keepLines/>
      <w:spacing w:before="300" w:after="300"/>
    </w:pPr>
    <w:rPr>
      <w:sz w:val="20"/>
      <w:szCs w:val="20"/>
    </w:rPr>
  </w:style>
  <w:style w:type="paragraph" w:customStyle="1" w:styleId="32">
    <w:name w:val="书目1"/>
    <w:basedOn w:val="1"/>
    <w:qFormat/>
    <w:uiPriority w:val="0"/>
  </w:style>
  <w:style w:type="table" w:customStyle="1" w:styleId="33">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34">
    <w:name w:val="Definition Term"/>
    <w:basedOn w:val="1"/>
    <w:next w:val="35"/>
    <w:qFormat/>
    <w:uiPriority w:val="0"/>
    <w:pPr>
      <w:keepNext/>
      <w:keepLines/>
      <w:spacing w:after="0"/>
    </w:pPr>
    <w:rPr>
      <w:b/>
    </w:rPr>
  </w:style>
  <w:style w:type="paragraph" w:customStyle="1" w:styleId="35">
    <w:name w:val="Definition"/>
    <w:basedOn w:val="1"/>
    <w:qFormat/>
    <w:uiPriority w:val="0"/>
  </w:style>
  <w:style w:type="paragraph" w:customStyle="1" w:styleId="36">
    <w:name w:val="Table Caption"/>
    <w:basedOn w:val="12"/>
    <w:qFormat/>
    <w:uiPriority w:val="0"/>
    <w:pPr>
      <w:keepNext/>
    </w:pPr>
  </w:style>
  <w:style w:type="paragraph" w:customStyle="1" w:styleId="37">
    <w:name w:val="Image Caption"/>
    <w:basedOn w:val="12"/>
    <w:qFormat/>
    <w:uiPriority w:val="0"/>
  </w:style>
  <w:style w:type="paragraph" w:customStyle="1" w:styleId="38">
    <w:name w:val="Figure"/>
    <w:basedOn w:val="1"/>
    <w:qFormat/>
    <w:uiPriority w:val="0"/>
  </w:style>
  <w:style w:type="paragraph" w:customStyle="1" w:styleId="39">
    <w:name w:val="Captioned Figure"/>
    <w:basedOn w:val="38"/>
    <w:qFormat/>
    <w:uiPriority w:val="0"/>
    <w:pPr>
      <w:keepNext/>
    </w:pPr>
  </w:style>
  <w:style w:type="character" w:customStyle="1" w:styleId="40">
    <w:name w:val="Verbatim Char"/>
    <w:basedOn w:val="25"/>
    <w:link w:val="41"/>
    <w:qFormat/>
    <w:uiPriority w:val="0"/>
    <w:rPr>
      <w:rFonts w:ascii="Consolas" w:hAnsi="Consolas"/>
      <w:sz w:val="22"/>
    </w:rPr>
  </w:style>
  <w:style w:type="paragraph" w:customStyle="1" w:styleId="41">
    <w:name w:val="Source Code"/>
    <w:basedOn w:val="1"/>
    <w:link w:val="40"/>
    <w:qFormat/>
    <w:uiPriority w:val="0"/>
    <w:pPr>
      <w:wordWrap w:val="0"/>
    </w:pPr>
  </w:style>
  <w:style w:type="character" w:customStyle="1" w:styleId="42">
    <w:name w:val="Section Number"/>
    <w:basedOn w:val="25"/>
    <w:qFormat/>
    <w:uiPriority w:val="0"/>
  </w:style>
  <w:style w:type="paragraph" w:customStyle="1" w:styleId="43">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44">
    <w:name w:val="KeywordTok"/>
    <w:basedOn w:val="40"/>
    <w:qFormat/>
    <w:uiPriority w:val="0"/>
    <w:rPr>
      <w:rFonts w:ascii="Consolas" w:hAnsi="Consolas"/>
      <w:b/>
      <w:color w:val="007020"/>
      <w:sz w:val="22"/>
    </w:rPr>
  </w:style>
  <w:style w:type="character" w:customStyle="1" w:styleId="45">
    <w:name w:val="DataTypeTok"/>
    <w:basedOn w:val="40"/>
    <w:qFormat/>
    <w:uiPriority w:val="0"/>
    <w:rPr>
      <w:rFonts w:ascii="Consolas" w:hAnsi="Consolas"/>
      <w:color w:val="902000"/>
      <w:sz w:val="22"/>
    </w:rPr>
  </w:style>
  <w:style w:type="character" w:customStyle="1" w:styleId="46">
    <w:name w:val="DecValTok"/>
    <w:basedOn w:val="40"/>
    <w:qFormat/>
    <w:uiPriority w:val="0"/>
    <w:rPr>
      <w:rFonts w:ascii="Consolas" w:hAnsi="Consolas"/>
      <w:color w:val="40A070"/>
      <w:sz w:val="22"/>
    </w:rPr>
  </w:style>
  <w:style w:type="character" w:customStyle="1" w:styleId="47">
    <w:name w:val="BaseNTok"/>
    <w:basedOn w:val="40"/>
    <w:qFormat/>
    <w:uiPriority w:val="0"/>
    <w:rPr>
      <w:rFonts w:ascii="Consolas" w:hAnsi="Consolas"/>
      <w:color w:val="40A070"/>
      <w:sz w:val="22"/>
    </w:rPr>
  </w:style>
  <w:style w:type="character" w:customStyle="1" w:styleId="48">
    <w:name w:val="FloatTok"/>
    <w:basedOn w:val="40"/>
    <w:qFormat/>
    <w:uiPriority w:val="0"/>
    <w:rPr>
      <w:rFonts w:ascii="Consolas" w:hAnsi="Consolas"/>
      <w:color w:val="40A070"/>
      <w:sz w:val="22"/>
    </w:rPr>
  </w:style>
  <w:style w:type="character" w:customStyle="1" w:styleId="49">
    <w:name w:val="ConstantTok"/>
    <w:basedOn w:val="40"/>
    <w:qFormat/>
    <w:uiPriority w:val="0"/>
    <w:rPr>
      <w:rFonts w:ascii="Consolas" w:hAnsi="Consolas"/>
      <w:color w:val="880000"/>
      <w:sz w:val="22"/>
    </w:rPr>
  </w:style>
  <w:style w:type="character" w:customStyle="1" w:styleId="50">
    <w:name w:val="CharTok"/>
    <w:basedOn w:val="40"/>
    <w:qFormat/>
    <w:uiPriority w:val="0"/>
    <w:rPr>
      <w:rFonts w:ascii="Consolas" w:hAnsi="Consolas"/>
      <w:color w:val="4070A0"/>
      <w:sz w:val="22"/>
    </w:rPr>
  </w:style>
  <w:style w:type="character" w:customStyle="1" w:styleId="51">
    <w:name w:val="SpecialCharTok"/>
    <w:basedOn w:val="40"/>
    <w:qFormat/>
    <w:uiPriority w:val="0"/>
    <w:rPr>
      <w:rFonts w:ascii="Consolas" w:hAnsi="Consolas"/>
      <w:color w:val="4070A0"/>
      <w:sz w:val="22"/>
    </w:rPr>
  </w:style>
  <w:style w:type="character" w:customStyle="1" w:styleId="52">
    <w:name w:val="StringTok"/>
    <w:basedOn w:val="40"/>
    <w:qFormat/>
    <w:uiPriority w:val="0"/>
    <w:rPr>
      <w:rFonts w:ascii="Consolas" w:hAnsi="Consolas"/>
      <w:color w:val="4070A0"/>
      <w:sz w:val="22"/>
    </w:rPr>
  </w:style>
  <w:style w:type="character" w:customStyle="1" w:styleId="53">
    <w:name w:val="VerbatimStringTok"/>
    <w:basedOn w:val="40"/>
    <w:qFormat/>
    <w:uiPriority w:val="0"/>
    <w:rPr>
      <w:rFonts w:ascii="Consolas" w:hAnsi="Consolas"/>
      <w:color w:val="4070A0"/>
      <w:sz w:val="22"/>
    </w:rPr>
  </w:style>
  <w:style w:type="character" w:customStyle="1" w:styleId="54">
    <w:name w:val="SpecialStringTok"/>
    <w:basedOn w:val="40"/>
    <w:qFormat/>
    <w:uiPriority w:val="0"/>
    <w:rPr>
      <w:rFonts w:ascii="Consolas" w:hAnsi="Consolas"/>
      <w:color w:val="BB6688"/>
      <w:sz w:val="22"/>
    </w:rPr>
  </w:style>
  <w:style w:type="character" w:customStyle="1" w:styleId="55">
    <w:name w:val="ImportTok"/>
    <w:basedOn w:val="40"/>
    <w:qFormat/>
    <w:uiPriority w:val="0"/>
    <w:rPr>
      <w:rFonts w:ascii="Consolas" w:hAnsi="Consolas"/>
      <w:b/>
      <w:color w:val="008000"/>
      <w:sz w:val="22"/>
    </w:rPr>
  </w:style>
  <w:style w:type="character" w:customStyle="1" w:styleId="56">
    <w:name w:val="CommentTok"/>
    <w:basedOn w:val="40"/>
    <w:qFormat/>
    <w:uiPriority w:val="0"/>
    <w:rPr>
      <w:rFonts w:ascii="Consolas" w:hAnsi="Consolas"/>
      <w:i/>
      <w:color w:val="60A0B0"/>
      <w:sz w:val="22"/>
    </w:rPr>
  </w:style>
  <w:style w:type="character" w:customStyle="1" w:styleId="57">
    <w:name w:val="DocumentationTok"/>
    <w:basedOn w:val="40"/>
    <w:qFormat/>
    <w:uiPriority w:val="0"/>
    <w:rPr>
      <w:rFonts w:ascii="Consolas" w:hAnsi="Consolas"/>
      <w:i/>
      <w:color w:val="BA2121"/>
      <w:sz w:val="22"/>
    </w:rPr>
  </w:style>
  <w:style w:type="character" w:customStyle="1" w:styleId="58">
    <w:name w:val="AnnotationTok"/>
    <w:basedOn w:val="40"/>
    <w:qFormat/>
    <w:uiPriority w:val="0"/>
    <w:rPr>
      <w:rFonts w:ascii="Consolas" w:hAnsi="Consolas"/>
      <w:b/>
      <w:i/>
      <w:color w:val="60A0B0"/>
      <w:sz w:val="22"/>
    </w:rPr>
  </w:style>
  <w:style w:type="character" w:customStyle="1" w:styleId="59">
    <w:name w:val="CommentVarTok"/>
    <w:basedOn w:val="40"/>
    <w:qFormat/>
    <w:uiPriority w:val="0"/>
    <w:rPr>
      <w:rFonts w:ascii="Consolas" w:hAnsi="Consolas"/>
      <w:b/>
      <w:i/>
      <w:color w:val="60A0B0"/>
      <w:sz w:val="22"/>
    </w:rPr>
  </w:style>
  <w:style w:type="character" w:customStyle="1" w:styleId="60">
    <w:name w:val="OtherTok"/>
    <w:basedOn w:val="40"/>
    <w:qFormat/>
    <w:uiPriority w:val="0"/>
    <w:rPr>
      <w:rFonts w:ascii="Consolas" w:hAnsi="Consolas"/>
      <w:color w:val="007020"/>
      <w:sz w:val="22"/>
    </w:rPr>
  </w:style>
  <w:style w:type="character" w:customStyle="1" w:styleId="61">
    <w:name w:val="FunctionTok"/>
    <w:basedOn w:val="40"/>
    <w:qFormat/>
    <w:uiPriority w:val="0"/>
    <w:rPr>
      <w:rFonts w:ascii="Consolas" w:hAnsi="Consolas"/>
      <w:color w:val="06287E"/>
      <w:sz w:val="22"/>
    </w:rPr>
  </w:style>
  <w:style w:type="character" w:customStyle="1" w:styleId="62">
    <w:name w:val="VariableTok"/>
    <w:basedOn w:val="40"/>
    <w:qFormat/>
    <w:uiPriority w:val="0"/>
    <w:rPr>
      <w:rFonts w:ascii="Consolas" w:hAnsi="Consolas"/>
      <w:color w:val="19177C"/>
      <w:sz w:val="22"/>
    </w:rPr>
  </w:style>
  <w:style w:type="character" w:customStyle="1" w:styleId="63">
    <w:name w:val="ControlFlowTok"/>
    <w:basedOn w:val="40"/>
    <w:qFormat/>
    <w:uiPriority w:val="0"/>
    <w:rPr>
      <w:rFonts w:ascii="Consolas" w:hAnsi="Consolas"/>
      <w:b/>
      <w:color w:val="007020"/>
      <w:sz w:val="22"/>
    </w:rPr>
  </w:style>
  <w:style w:type="character" w:customStyle="1" w:styleId="64">
    <w:name w:val="OperatorTok"/>
    <w:basedOn w:val="40"/>
    <w:qFormat/>
    <w:uiPriority w:val="0"/>
    <w:rPr>
      <w:rFonts w:ascii="Consolas" w:hAnsi="Consolas"/>
      <w:color w:val="666666"/>
      <w:sz w:val="22"/>
    </w:rPr>
  </w:style>
  <w:style w:type="character" w:customStyle="1" w:styleId="65">
    <w:name w:val="BuiltInTok"/>
    <w:basedOn w:val="40"/>
    <w:qFormat/>
    <w:uiPriority w:val="0"/>
    <w:rPr>
      <w:rFonts w:ascii="Consolas" w:hAnsi="Consolas"/>
      <w:color w:val="008000"/>
      <w:sz w:val="22"/>
    </w:rPr>
  </w:style>
  <w:style w:type="character" w:customStyle="1" w:styleId="66">
    <w:name w:val="ExtensionTok"/>
    <w:basedOn w:val="40"/>
    <w:qFormat/>
    <w:uiPriority w:val="0"/>
    <w:rPr>
      <w:rFonts w:ascii="Consolas" w:hAnsi="Consolas"/>
      <w:sz w:val="22"/>
    </w:rPr>
  </w:style>
  <w:style w:type="character" w:customStyle="1" w:styleId="67">
    <w:name w:val="PreprocessorTok"/>
    <w:basedOn w:val="40"/>
    <w:qFormat/>
    <w:uiPriority w:val="0"/>
    <w:rPr>
      <w:rFonts w:ascii="Consolas" w:hAnsi="Consolas"/>
      <w:color w:val="BC7A00"/>
      <w:sz w:val="22"/>
    </w:rPr>
  </w:style>
  <w:style w:type="character" w:customStyle="1" w:styleId="68">
    <w:name w:val="AttributeTok"/>
    <w:basedOn w:val="40"/>
    <w:qFormat/>
    <w:uiPriority w:val="0"/>
    <w:rPr>
      <w:rFonts w:ascii="Consolas" w:hAnsi="Consolas"/>
      <w:color w:val="7D9029"/>
      <w:sz w:val="22"/>
    </w:rPr>
  </w:style>
  <w:style w:type="character" w:customStyle="1" w:styleId="69">
    <w:name w:val="RegionMarkerTok"/>
    <w:basedOn w:val="40"/>
    <w:qFormat/>
    <w:uiPriority w:val="0"/>
    <w:rPr>
      <w:rFonts w:ascii="Consolas" w:hAnsi="Consolas"/>
      <w:sz w:val="22"/>
    </w:rPr>
  </w:style>
  <w:style w:type="character" w:customStyle="1" w:styleId="70">
    <w:name w:val="InformationTok"/>
    <w:basedOn w:val="40"/>
    <w:qFormat/>
    <w:uiPriority w:val="0"/>
    <w:rPr>
      <w:rFonts w:ascii="Consolas" w:hAnsi="Consolas"/>
      <w:b/>
      <w:i/>
      <w:color w:val="60A0B0"/>
      <w:sz w:val="22"/>
    </w:rPr>
  </w:style>
  <w:style w:type="character" w:customStyle="1" w:styleId="71">
    <w:name w:val="WarningTok"/>
    <w:basedOn w:val="40"/>
    <w:qFormat/>
    <w:uiPriority w:val="0"/>
    <w:rPr>
      <w:rFonts w:ascii="Consolas" w:hAnsi="Consolas"/>
      <w:b/>
      <w:i/>
      <w:color w:val="60A0B0"/>
      <w:sz w:val="22"/>
    </w:rPr>
  </w:style>
  <w:style w:type="character" w:customStyle="1" w:styleId="72">
    <w:name w:val="AlertTok"/>
    <w:basedOn w:val="40"/>
    <w:qFormat/>
    <w:uiPriority w:val="0"/>
    <w:rPr>
      <w:rFonts w:ascii="Consolas" w:hAnsi="Consolas"/>
      <w:b/>
      <w:color w:val="FF0000"/>
      <w:sz w:val="22"/>
    </w:rPr>
  </w:style>
  <w:style w:type="character" w:customStyle="1" w:styleId="73">
    <w:name w:val="ErrorTok"/>
    <w:basedOn w:val="40"/>
    <w:qFormat/>
    <w:uiPriority w:val="0"/>
    <w:rPr>
      <w:rFonts w:ascii="Consolas" w:hAnsi="Consolas"/>
      <w:b/>
      <w:color w:val="FF0000"/>
      <w:sz w:val="22"/>
    </w:rPr>
  </w:style>
  <w:style w:type="character" w:customStyle="1" w:styleId="74">
    <w:name w:val="NormalTok"/>
    <w:basedOn w:val="40"/>
    <w:qFormat/>
    <w:uiPriority w:val="0"/>
    <w:rPr>
      <w:rFonts w:ascii="Consolas" w:hAnsi="Consolas"/>
      <w:sz w:val="22"/>
    </w:rPr>
  </w:style>
  <w:style w:type="character" w:customStyle="1" w:styleId="75">
    <w:name w:val="页眉 字符"/>
    <w:basedOn w:val="23"/>
    <w:link w:val="17"/>
    <w:qFormat/>
    <w:uiPriority w:val="0"/>
    <w:rPr>
      <w:sz w:val="18"/>
      <w:szCs w:val="18"/>
      <w:lang w:eastAsia="en-US"/>
    </w:rPr>
  </w:style>
  <w:style w:type="character" w:customStyle="1" w:styleId="76">
    <w:name w:val="页脚 字符"/>
    <w:basedOn w:val="23"/>
    <w:link w:val="16"/>
    <w:qFormat/>
    <w:uiPriority w:val="0"/>
    <w:rPr>
      <w:sz w:val="18"/>
      <w:szCs w:val="18"/>
      <w:lang w:eastAsia="en-US"/>
    </w:rPr>
  </w:style>
  <w:style w:type="character" w:customStyle="1" w:styleId="77">
    <w:name w:val="批注文字 字符"/>
    <w:basedOn w:val="23"/>
    <w:link w:val="13"/>
    <w:qFormat/>
    <w:uiPriority w:val="99"/>
    <w:rPr>
      <w:kern w:val="2"/>
      <w:sz w:val="21"/>
      <w:szCs w:val="22"/>
    </w:rPr>
  </w:style>
  <w:style w:type="character" w:customStyle="1" w:styleId="78">
    <w:name w:val="批注主题 字符"/>
    <w:basedOn w:val="77"/>
    <w:link w:val="21"/>
    <w:semiHidden/>
    <w:qFormat/>
    <w:uiPriority w:val="0"/>
    <w:rPr>
      <w:b/>
      <w:bCs/>
      <w:kern w:val="2"/>
      <w:sz w:val="24"/>
      <w:szCs w:val="24"/>
      <w:lang w:eastAsia="en-US"/>
    </w:rPr>
  </w:style>
  <w:style w:type="character" w:customStyle="1" w:styleId="79">
    <w:name w:val="标题 3 字符"/>
    <w:basedOn w:val="23"/>
    <w:link w:val="5"/>
    <w:qFormat/>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9</Pages>
  <Words>5563</Words>
  <Characters>5610</Characters>
  <Lines>36</Lines>
  <Paragraphs>10</Paragraphs>
  <TotalTime>9</TotalTime>
  <ScaleCrop>false</ScaleCrop>
  <LinksUpToDate>false</LinksUpToDate>
  <CharactersWithSpaces>5637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2025-03-07T22:22:00Z</dcterms:created>
  <dc:creator>曹云帆</dc:creator>
  <cp:lastModifiedBy>茅</cp:lastModifiedBy>
  <dcterms:modified xsi:type="dcterms:W3CDTF">2025-03-19T00:58:01Z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30809E7254B3440E850CC0F2FC5F7452_12</vt:lpwstr>
  </property>
</Properties>
</file>