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before="156" w:beforeLines="50" w:line="360" w:lineRule="auto"/>
        <w:ind w:left="10" w:hanging="10" w:hangingChars="3"/>
        <w:jc w:val="left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 xml:space="preserve">附件1：    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第十六届全国消费电子服务大会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暨2021年度消费电子行业客户服务工作表彰大会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参会回执表</w:t>
      </w:r>
    </w:p>
    <w:p>
      <w:pPr>
        <w:spacing w:after="156" w:afterLines="50"/>
        <w:rPr>
          <w:rFonts w:eastAsia="仿宋_GB2312"/>
          <w:sz w:val="24"/>
          <w:szCs w:val="24"/>
        </w:rPr>
      </w:pPr>
    </w:p>
    <w:p>
      <w:pPr>
        <w:spacing w:after="156" w:afterLines="50"/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</w:rPr>
        <w:t>时间：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22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  <w:lang w:val="en-US" w:eastAsia="zh-CN"/>
        </w:rPr>
        <w:t>7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  <w:lang w:val="en-US" w:eastAsia="zh-CN"/>
        </w:rPr>
        <w:t>6</w:t>
      </w:r>
      <w:r>
        <w:rPr>
          <w:rFonts w:hint="eastAsia" w:eastAsia="仿宋_GB2312"/>
          <w:sz w:val="24"/>
          <w:szCs w:val="24"/>
        </w:rPr>
        <w:t>日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             地点：广州</w:t>
      </w:r>
      <w:r>
        <w:rPr>
          <w:rFonts w:hint="eastAsia" w:ascii="仿宋_GB2312" w:hAnsi="仿宋" w:eastAsia="仿宋_GB2312"/>
          <w:sz w:val="28"/>
        </w:rPr>
        <w:t>·</w:t>
      </w:r>
      <w:r>
        <w:rPr>
          <w:rFonts w:hint="eastAsia" w:eastAsia="仿宋_GB2312"/>
          <w:sz w:val="24"/>
          <w:szCs w:val="24"/>
        </w:rPr>
        <w:t>番禺喜来登</w:t>
      </w:r>
      <w:r>
        <w:rPr>
          <w:rFonts w:hint="eastAsia" w:eastAsia="仿宋_GB2312"/>
          <w:sz w:val="24"/>
          <w:szCs w:val="24"/>
          <w:lang w:val="en-US" w:eastAsia="zh-CN"/>
        </w:rPr>
        <w:t>酒店</w:t>
      </w:r>
    </w:p>
    <w:tbl>
      <w:tblPr>
        <w:tblStyle w:val="7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60"/>
        <w:gridCol w:w="720"/>
        <w:gridCol w:w="1080"/>
        <w:gridCol w:w="360"/>
        <w:gridCol w:w="1655"/>
        <w:gridCol w:w="1178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邮 箱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公司业务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 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是否住宿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□否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会务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费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交纳办法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 提前汇款（截止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日）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汇款账号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Style w:val="16"/>
                <w:rFonts w:hint="eastAsia"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汇款账号：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户：中国电子商会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号：0200004609003603037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开户行：中国工商银行北京公主坟支行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/>
              </w:rPr>
              <w:t>备  注：20</w:t>
            </w:r>
            <w:r>
              <w:rPr>
                <w:rStyle w:val="16"/>
                <w:rFonts w:ascii="仿宋" w:hAnsi="仿宋" w:eastAsia="仿宋"/>
              </w:rPr>
              <w:t>2</w:t>
            </w:r>
            <w:r>
              <w:rPr>
                <w:rStyle w:val="16"/>
                <w:rFonts w:hint="eastAsia" w:ascii="仿宋" w:hAnsi="仿宋" w:eastAsia="仿宋"/>
              </w:rPr>
              <w:t>2服务大会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640" w:type="dxa"/>
            <w:gridSpan w:val="8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注意事项</w:t>
            </w:r>
            <w:r>
              <w:rPr>
                <w:rFonts w:ascii="宋体" w:hAnsi="宋体"/>
                <w:b/>
              </w:rPr>
              <w:t>：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请填妥此表于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>日前发电子邮件至组委会，以便安排会议住宿接待工作。</w:t>
            </w:r>
          </w:p>
          <w:p>
            <w:pPr>
              <w:spacing w:line="360" w:lineRule="exact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联系人：邢敬芳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电话：13552263608，010-68252761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邮箱：</w:t>
            </w:r>
            <w:r>
              <w:fldChar w:fldCharType="begin"/>
            </w:r>
            <w:r>
              <w:instrText xml:space="preserve"> HYPERLINK "mailto:xingjingfang@163.com"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xingjingfang@163.com</w:t>
            </w:r>
            <w:r>
              <w:fldChar w:fldCharType="end"/>
            </w:r>
          </w:p>
        </w:tc>
      </w:tr>
    </w:tbl>
    <w:p>
      <w:pPr>
        <w:jc w:val="left"/>
        <w:rPr>
          <w:rStyle w:val="16"/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Style w:val="16"/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Style w:val="16"/>
          <w:rFonts w:hint="eastAsia" w:ascii="仿宋" w:hAnsi="仿宋" w:eastAsia="仿宋" w:cs="仿宋"/>
          <w:b/>
          <w:color w:val="000000"/>
          <w:sz w:val="32"/>
          <w:szCs w:val="32"/>
        </w:rPr>
        <w:t>参会卫生防疫要求</w:t>
      </w:r>
    </w:p>
    <w:p>
      <w:pPr>
        <w:jc w:val="center"/>
        <w:rPr>
          <w:rStyle w:val="16"/>
          <w:rFonts w:hint="eastAsia" w:ascii="仿宋" w:hAnsi="仿宋" w:eastAsia="仿宋" w:cs="仿宋"/>
          <w:b/>
          <w:color w:val="000000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严格贯彻广州市政府最新公布的防疫措施：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（1）所有来自或途经国内疫情中高风险地区的人员，原则上不得参加此次会议。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（2）所有来自或途经国内疫情低风险地区的人员，需持48小时内有效核酸证明离开常住地，并保证抵达广州市时该核酸证明仍处于48小时有效期内且本人健康码和大数据通行码均为绿色。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（3）所有参会代表均需积极配合主办方，在会议结束前再次进行核酸检测，以便持有48小时内有效核酸证明离开广州市返回常住地。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外地参会代表报到时需提供本人准确身份信息及联系方式，并声明过去14天旅居史。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根据疫情防控要求，本次会议所有工作人员、现场服务人员、参会代表均须实名制登记。所有进入会场人员须同时满足四项条件，人证一致、佩戴口罩、出示绿色健康码及体温正常。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所有进入会场人员必须佩戴口罩，保持1米的安全社交距离，不聚集不簇拥，减少身体接触。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现场采用“健康码绿码+测温”的入场方式。体温低于37.3摄氏度者才能放行，体温超过37.3摄氏度的将由工作人员引至临时留验点，进行二次测温。医护人员每日汇总疑似人员名单，并向防疫应急小组汇报。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所有参会代表需积极配合主办方的各项防疫工作，多频次、全方位的落实好消毒工作，为所有参展、参会人员提供安全、卫生的展会环境。</w:t>
      </w:r>
    </w:p>
    <w:p>
      <w:pPr>
        <w:rPr>
          <w:rStyle w:val="16"/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16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71EE"/>
    <w:rsid w:val="041A5E1E"/>
    <w:rsid w:val="14B7657F"/>
    <w:rsid w:val="2B752C2A"/>
    <w:rsid w:val="377A5495"/>
    <w:rsid w:val="3B1A3A1B"/>
    <w:rsid w:val="43F276C7"/>
    <w:rsid w:val="4B3A651A"/>
    <w:rsid w:val="4CD449B5"/>
    <w:rsid w:val="53784027"/>
    <w:rsid w:val="5C8B7F8B"/>
    <w:rsid w:val="61F87C52"/>
    <w:rsid w:val="654B1E18"/>
    <w:rsid w:val="7064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20" w:after="240" w:line="360" w:lineRule="atLeast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sz w:val="18"/>
      <w:u w:val="none"/>
    </w:rPr>
  </w:style>
  <w:style w:type="character" w:customStyle="1" w:styleId="11">
    <w:name w:val="日期 Char"/>
    <w:link w:val="2"/>
    <w:qFormat/>
    <w:uiPriority w:val="0"/>
    <w:rPr>
      <w:kern w:val="2"/>
      <w:sz w:val="21"/>
    </w:rPr>
  </w:style>
  <w:style w:type="character" w:customStyle="1" w:styleId="12">
    <w:name w:val="批注框文本 Char"/>
    <w:link w:val="3"/>
    <w:qFormat/>
    <w:uiPriority w:val="0"/>
    <w:rPr>
      <w:kern w:val="2"/>
      <w:sz w:val="18"/>
    </w:rPr>
  </w:style>
  <w:style w:type="character" w:customStyle="1" w:styleId="13">
    <w:name w:val="页脚 Char"/>
    <w:link w:val="4"/>
    <w:qFormat/>
    <w:uiPriority w:val="0"/>
    <w:rPr>
      <w:kern w:val="2"/>
      <w:sz w:val="18"/>
    </w:rPr>
  </w:style>
  <w:style w:type="character" w:customStyle="1" w:styleId="14">
    <w:name w:val="页眉 Char"/>
    <w:link w:val="5"/>
    <w:qFormat/>
    <w:uiPriority w:val="0"/>
    <w:rPr>
      <w:kern w:val="2"/>
      <w:sz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6">
    <w:name w:val="普通(Web) Char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2093</Characters>
  <Paragraphs>127</Paragraphs>
  <TotalTime>2</TotalTime>
  <ScaleCrop>false</ScaleCrop>
  <LinksUpToDate>false</LinksUpToDate>
  <CharactersWithSpaces>2194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2019-01-08T02:37:00Z</dcterms:created>
  <dc:creator>x</dc:creator>
  <cp:lastModifiedBy>Eileen</cp:lastModifiedBy>
  <cp:lastPrinted>2020-01-17T06:23:00Z</cp:lastPrinted>
  <dcterms:modified xsi:type="dcterms:W3CDTF">2022-06-15T07:46:08Z</dcterms:modified>
  <dc:title>提升服务品质，关注消费与民生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35B07773D5DD40DF8C78D7763F04DAD9</vt:lpwstr>
  </property>
</Properties>
</file>